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color="0D1B2A"/>
        </w:pBdr>
      </w:pPr>
      <w:r>
        <w:rPr>
          <w:rFonts w:ascii="Calibri" w:hAnsi="Calibri"/>
          <w:color w:val="4A5568"/>
          <w:sz w:val="18"/>
        </w:rPr>
        <w:t>MEMO 02  ·  Q1 2026</w:t>
      </w:r>
    </w:p>
    <w:p>
      <w:pPr>
        <w:spacing w:before="120" w:after="40"/>
      </w:pPr>
      <w:r>
        <w:rPr>
          <w:rFonts w:ascii="Calibri" w:hAnsi="Calibri"/>
          <w:b/>
          <w:color w:val="0D1B2A"/>
          <w:sz w:val="36"/>
        </w:rPr>
        <w:t>European Equities: Structural Discount or Opportunity Before Capital Rotation?</w:t>
      </w:r>
    </w:p>
    <w:p>
      <w:pPr>
        <w:spacing w:before="0" w:after="40"/>
      </w:pPr>
      <w:r>
        <w:rPr>
          <w:rFonts w:ascii="Calibri" w:hAnsi="Calibri"/>
          <w:color w:val="4A5568"/>
          <w:sz w:val="20"/>
        </w:rPr>
        <w:t xml:space="preserve">Sector: European Equities / Global Allocation  ·  Q1 2026  </w:t>
      </w:r>
      <w:r>
        <w:rPr>
          <w:rFonts w:ascii="Calibri" w:hAnsi="Calibri"/>
          <w:b/>
          <w:color w:val="1A7A40"/>
          <w:sz w:val="20"/>
        </w:rPr>
        <w:t>Re-rating catalyst building, record underweight at valuation extreme</w:t>
      </w:r>
    </w:p>
    <w:p>
      <w:pPr>
        <w:pBdr>
          <w:bottom w:val="single" w:sz="4" w:color="2E86AB"/>
        </w:pBdr>
        <w:spacing w:after="120"/>
      </w:pPr>
    </w:p>
    <w:p>
      <w:pPr>
        <w:spacing w:before="0" w:after="100"/>
      </w:pPr>
      <w:r>
        <w:rPr>
          <w:rFonts w:ascii="Calibri" w:hAnsi="Calibri"/>
          <w:i w:val="0"/>
          <w:sz w:val="21"/>
        </w:rPr>
        <w:t>MSCI Europe trades at a 38% forward P/E discount to the S&amp;P 500, close to historic extremes. About 60% of that gap is explained by index composition: the US carries 30% technology weighting versus Europe's 8%. The remaining discount is cyclical and mean-reverts. With fiscal regime shift and ECB easing underway, the backdrop is turning at the moment positioning is at record lows.</w:t>
      </w:r>
    </w:p>
    <w:p>
      <w:pPr>
        <w:spacing w:before="160" w:after="60"/>
      </w:pPr>
      <w:r>
        <w:rPr>
          <w:rFonts w:ascii="Calibri" w:hAnsi="Calibri"/>
          <w:b/>
          <w:color w:val="0D1B2A"/>
          <w:sz w:val="24"/>
        </w:rPr>
        <w:t>Key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C9993A"/>
                <w:sz w:val="36"/>
              </w:rPr>
              <w:t>38%</w:t>
            </w:r>
          </w:p>
        </w:tc>
        <w:tc>
          <w:tcPr>
            <w:tcW w:type="dxa" w:w="3024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C9993A"/>
                <w:sz w:val="36"/>
              </w:rPr>
              <w:t>€500bn</w:t>
            </w:r>
          </w:p>
        </w:tc>
        <w:tc>
          <w:tcPr>
            <w:tcW w:type="dxa" w:w="3024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C9993A"/>
                <w:sz w:val="36"/>
              </w:rPr>
              <w:t>Record</w:t>
            </w:r>
          </w:p>
        </w:tc>
      </w:tr>
      <w:tr>
        <w:tc>
          <w:tcPr>
            <w:tcW w:type="dxa" w:w="3024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MSCI Europe discount to S&amp;P 500</w:t>
              <w:br/>
              <w:t>forward P/E (20yr avg: ~15%)</w:t>
            </w:r>
          </w:p>
        </w:tc>
        <w:tc>
          <w:tcPr>
            <w:tcW w:type="dxa" w:w="3024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German fiscal commitment</w:t>
              <w:br/>
              <w:t>(defence + infrastructure, Feb 2026)</w:t>
            </w:r>
          </w:p>
        </w:tc>
        <w:tc>
          <w:tcPr>
            <w:tcW w:type="dxa" w:w="3024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Global fund mgr underweight of</w:t>
              <w:br/>
              <w:t>European equities (BofA FMS)</w:t>
            </w:r>
          </w:p>
        </w:tc>
      </w:tr>
    </w:tbl>
    <w:p>
      <w:pPr>
        <w:spacing w:before="0" w:after="160"/>
      </w:pPr>
    </w:p>
    <w:p>
      <w:pPr>
        <w:spacing w:before="160" w:after="60"/>
      </w:pPr>
      <w:r>
        <w:rPr>
          <w:rFonts w:ascii="Calibri" w:hAnsi="Calibri"/>
          <w:b/>
          <w:color w:val="0D1B2A"/>
          <w:sz w:val="24"/>
        </w:rPr>
        <w:t>Investment Thesis</w:t>
      </w:r>
    </w:p>
    <w:p>
      <w:pPr>
        <w:pStyle w:val="ListBullet"/>
        <w:spacing w:before="40" w:after="60"/>
        <w:ind w:left="360"/>
      </w:pPr>
      <w:r>
        <w:rPr>
          <w:rFonts w:ascii="Calibri" w:hAnsi="Calibri"/>
          <w:b/>
          <w:color w:val="0D1B2A"/>
          <w:sz w:val="21"/>
        </w:rPr>
        <w:t xml:space="preserve">Historic valuation extreme:  </w:t>
      </w:r>
      <w:r>
        <w:rPr>
          <w:rFonts w:ascii="Calibri" w:hAnsi="Calibri"/>
          <w:sz w:val="21"/>
        </w:rPr>
        <w:t>MSCI Europe trades at 13x 2026E earnings versus the S&amp;P 500 at 21x. The 20-year average spread is around 15%. Europe is priced for structural decline. The asymmetry is significant if the discount mean-reverts even partially from current levels.</w:t>
      </w:r>
    </w:p>
    <w:p>
      <w:pPr>
        <w:pStyle w:val="ListBullet"/>
        <w:spacing w:before="40" w:after="60"/>
        <w:ind w:left="360"/>
      </w:pPr>
      <w:r>
        <w:rPr>
          <w:rFonts w:ascii="Calibri" w:hAnsi="Calibri"/>
          <w:b/>
          <w:color w:val="0D1B2A"/>
          <w:sz w:val="21"/>
        </w:rPr>
        <w:t xml:space="preserve">Discount is mechanically explained:  </w:t>
      </w:r>
      <w:r>
        <w:rPr>
          <w:rFonts w:ascii="Calibri" w:hAnsi="Calibri"/>
          <w:sz w:val="21"/>
        </w:rPr>
        <w:t>Around 60% of the P/E gap is attributable to index composition. The US carries 30% technology weighting versus 8% for Europe. Financials (18%) and Industrials (14%) dominate MSCI Europe, lower-multiple sectors by definition. Sector-adjusted, European equities trade closer to a 20% discount rather than 38%.</w:t>
      </w:r>
    </w:p>
    <w:p>
      <w:pPr>
        <w:pStyle w:val="ListBullet"/>
        <w:spacing w:before="40" w:after="60"/>
        <w:ind w:left="360"/>
      </w:pPr>
      <w:r>
        <w:rPr>
          <w:rFonts w:ascii="Calibri" w:hAnsi="Calibri"/>
          <w:b/>
          <w:color w:val="0D1B2A"/>
          <w:sz w:val="21"/>
        </w:rPr>
        <w:t xml:space="preserve">Re-rating thesis, not earnings thesis:  </w:t>
      </w:r>
      <w:r>
        <w:rPr>
          <w:rFonts w:ascii="Calibri" w:hAnsi="Calibri"/>
          <w:sz w:val="21"/>
        </w:rPr>
        <w:t>Europe does not need to outgrow the US. EPS revisions have inflected positively for the first time since 2022. A modest expectation reset from an extreme position drives material multiple expansion. That is the primary return driver..</w:t>
      </w:r>
    </w:p>
    <w:p>
      <w:pPr>
        <w:spacing w:before="160" w:after="60"/>
      </w:pPr>
      <w:r>
        <w:rPr>
          <w:rFonts w:ascii="Calibri" w:hAnsi="Calibri"/>
          <w:b/>
          <w:color w:val="0D1B2A"/>
          <w:sz w:val="24"/>
        </w:rPr>
        <w:t>Market Context</w:t>
      </w:r>
    </w:p>
    <w:p>
      <w:pPr>
        <w:spacing w:before="0" w:after="100"/>
      </w:pPr>
      <w:r>
        <w:rPr>
          <w:rFonts w:ascii="Calibri" w:hAnsi="Calibri"/>
          <w:i w:val="0"/>
          <w:sz w:val="21"/>
        </w:rPr>
        <w:t>Capital flows have been self-reinforcing. Over $450bn net flowed into US equity ETFs in 2023-24 against roughly $28bn into European equivalents (BofA Global Research). Performance attracts flows; flows drive performance. This cycle has stretched European positioning to historic lows, creating conditions for reversal when the fundamental backdrop shifts.</w:t>
      </w:r>
    </w:p>
    <w:p>
      <w:pPr>
        <w:spacing w:before="0" w:after="100"/>
      </w:pPr>
      <w:r>
        <w:rPr>
          <w:rFonts w:ascii="Calibri" w:hAnsi="Calibri"/>
          <w:i w:val="0"/>
          <w:sz w:val="21"/>
        </w:rPr>
        <w:t>US technology outperformance explains much of the headline discount, but equity duration matters. US tech is long-duration, cash flows priced far out, and most sensitive to rate changes. European cyclicals are short-duration. They benefit more when inflation stabilises and the rate cycle turns. The ECB is 100-150bps ahead of the Fed in cutting.</w:t>
      </w:r>
    </w:p>
    <w:p>
      <w:pPr>
        <w:spacing w:before="160" w:after="60"/>
      </w:pPr>
      <w:r>
        <w:rPr>
          <w:rFonts w:ascii="Calibri" w:hAnsi="Calibri"/>
          <w:b/>
          <w:color w:val="0D1B2A"/>
          <w:sz w:val="24"/>
        </w:rPr>
        <w:t>Rerating Catalysts</w:t>
      </w:r>
    </w:p>
    <w:p>
      <w:pPr>
        <w:pStyle w:val="ListBullet"/>
        <w:spacing w:before="40" w:after="60"/>
        <w:ind w:left="360"/>
      </w:pPr>
      <w:r>
        <w:rPr>
          <w:rFonts w:ascii="Calibri" w:hAnsi="Calibri"/>
          <w:b/>
          <w:color w:val="0D1B2A"/>
          <w:sz w:val="21"/>
        </w:rPr>
        <w:t xml:space="preserve">Fiscal regime break:  </w:t>
      </w:r>
      <w:r>
        <w:rPr>
          <w:rFonts w:ascii="Calibri" w:hAnsi="Calibri"/>
          <w:sz w:val="21"/>
        </w:rPr>
        <w:t>Germany's €500bn infrastructure and defence commitment ends the post-GFC fiscal austerity era, directly benefiting Industrials, Construction, and Defence, sectors where MSCI Europe is overweight relative to global indices.</w:t>
      </w:r>
    </w:p>
    <w:p>
      <w:pPr>
        <w:pStyle w:val="ListBullet"/>
        <w:spacing w:before="40" w:after="60"/>
        <w:ind w:left="360"/>
      </w:pPr>
      <w:r>
        <w:rPr>
          <w:rFonts w:ascii="Calibri" w:hAnsi="Calibri"/>
          <w:b/>
          <w:color w:val="0D1B2A"/>
          <w:sz w:val="21"/>
        </w:rPr>
        <w:t xml:space="preserve">Positioning reversal:  </w:t>
      </w:r>
      <w:r>
        <w:rPr>
          <w:rFonts w:ascii="Calibri" w:hAnsi="Calibri"/>
          <w:sz w:val="21"/>
        </w:rPr>
        <w:t>BofA FMS December 2025 showed a record global underweight of European equities. Any rebalancing toward historical allocation, even partial, creates a mechanical flow tailwind that is independent of fundamentals.</w:t>
      </w:r>
    </w:p>
    <w:p>
      <w:pPr>
        <w:pStyle w:val="ListBullet"/>
        <w:spacing w:before="40" w:after="60"/>
        <w:ind w:left="360"/>
      </w:pPr>
      <w:r>
        <w:rPr>
          <w:rFonts w:ascii="Calibri" w:hAnsi="Calibri"/>
          <w:b/>
          <w:color w:val="0D1B2A"/>
          <w:sz w:val="21"/>
        </w:rPr>
        <w:t xml:space="preserve">Narrative inflection:  </w:t>
      </w:r>
      <w:r>
        <w:rPr>
          <w:rFonts w:ascii="Calibri" w:hAnsi="Calibri"/>
          <w:sz w:val="21"/>
        </w:rPr>
        <w:t>As EPS revisions turn positive and fiscal spend becomes visible in earnings, the index narrative shifts from structural decline to cyclical recovery. Multiple expansion follows narrative changes, not just earnings.</w:t>
      </w:r>
    </w:p>
    <w:p>
      <w:pPr>
        <w:spacing w:before="160" w:after="60"/>
      </w:pPr>
      <w:r>
        <w:rPr>
          <w:rFonts w:ascii="Calibri" w:hAnsi="Calibri"/>
          <w:b/>
          <w:color w:val="0D1B2A"/>
          <w:sz w:val="24"/>
        </w:rPr>
        <w:t>Key Risks</w:t>
      </w:r>
    </w:p>
    <w:p>
      <w:pPr>
        <w:pStyle w:val="ListBullet"/>
        <w:spacing w:before="40" w:after="60"/>
        <w:ind w:left="360"/>
      </w:pPr>
      <w:r>
        <w:rPr>
          <w:rFonts w:ascii="Calibri" w:hAnsi="Calibri"/>
          <w:b/>
          <w:color w:val="0D1B2A"/>
          <w:sz w:val="21"/>
        </w:rPr>
        <w:t xml:space="preserve">Earnings growth differential:  </w:t>
      </w:r>
      <w:r>
        <w:rPr>
          <w:rFonts w:ascii="Calibri" w:hAnsi="Calibri"/>
          <w:sz w:val="21"/>
        </w:rPr>
        <w:t>If US technology sustains 15-20% annual EPS growth versus European 4-6%, the valuation gap is fundamentally justified. Re-rating is structurally capped without earnings convergence.</w:t>
      </w:r>
    </w:p>
    <w:p>
      <w:pPr>
        <w:pStyle w:val="ListBullet"/>
        <w:spacing w:before="40" w:after="60"/>
        <w:ind w:left="360"/>
      </w:pPr>
      <w:r>
        <w:rPr>
          <w:rFonts w:ascii="Calibri" w:hAnsi="Calibri"/>
          <w:b/>
          <w:color w:val="0D1B2A"/>
          <w:sz w:val="21"/>
        </w:rPr>
        <w:t xml:space="preserve">Trade war and tariff exposure:  </w:t>
      </w:r>
      <w:r>
        <w:rPr>
          <w:rFonts w:ascii="Calibri" w:hAnsi="Calibri"/>
          <w:sz w:val="21"/>
        </w:rPr>
        <w:t>US tariffs on European autos and industrials introduce direct earnings downside. German auto faces structural demand pressure from Chinese EV competition independently of tariffs.</w:t>
      </w:r>
    </w:p>
    <w:p>
      <w:pPr>
        <w:pStyle w:val="ListBullet"/>
        <w:spacing w:before="40" w:after="60"/>
        <w:ind w:left="360"/>
      </w:pPr>
      <w:r>
        <w:rPr>
          <w:rFonts w:ascii="Calibri" w:hAnsi="Calibri"/>
          <w:b/>
          <w:color w:val="0D1B2A"/>
          <w:sz w:val="21"/>
        </w:rPr>
        <w:t xml:space="preserve">EUR/USD headwind:  </w:t>
      </w:r>
      <w:r>
        <w:rPr>
          <w:rFonts w:ascii="Calibri" w:hAnsi="Calibri"/>
          <w:sz w:val="21"/>
        </w:rPr>
        <w:t>European returns for global investors are FX-dependent. A stronger dollar reduces USD returns from European allocations and dampens reallocation incentives.</w:t>
      </w:r>
    </w:p>
    <w:p>
      <w:pPr>
        <w:pStyle w:val="ListBullet"/>
        <w:spacing w:before="40" w:after="60"/>
        <w:ind w:left="360"/>
      </w:pPr>
      <w:r>
        <w:rPr>
          <w:rFonts w:ascii="Calibri" w:hAnsi="Calibri"/>
          <w:b/>
          <w:color w:val="0D1B2A"/>
          <w:sz w:val="21"/>
        </w:rPr>
        <w:t xml:space="preserve">Political execution risk:  </w:t>
      </w:r>
      <w:r>
        <w:rPr>
          <w:rFonts w:ascii="Calibri" w:hAnsi="Calibri"/>
          <w:sz w:val="21"/>
        </w:rPr>
        <w:t>€500bn German package requires coalition durability. French fiscal fragmentation and Italian debt remain systemic tail risks.</w:t>
      </w:r>
    </w:p>
    <w:p>
      <w:pPr>
        <w:spacing w:before="160" w:after="60"/>
      </w:pPr>
      <w:r>
        <w:rPr>
          <w:rFonts w:ascii="Calibri" w:hAnsi="Calibri"/>
          <w:b/>
          <w:color w:val="0D1B2A"/>
          <w:sz w:val="24"/>
        </w:rPr>
        <w:t>Conclusion</w:t>
      </w:r>
    </w:p>
    <w:p>
      <w:pPr>
        <w:spacing w:before="0" w:after="100"/>
      </w:pPr>
      <w:r>
        <w:rPr>
          <w:rFonts w:ascii="Calibri" w:hAnsi="Calibri"/>
          <w:i w:val="0"/>
          <w:color w:val="0D1B2A"/>
          <w:sz w:val="21"/>
        </w:rPr>
        <w:t>The bull case does not need European economic outperformance. It only needs expectations to stabilise from deeply depressed levels. A reversion to the 20-year average P/E spread (15% vs current 38%), with no earnings growth assumed, implies MSCI Europe re-rating from 13x to roughly 17x, approximately 30% upside from multiple expansion alone, before any earnings contribution.</w:t>
      </w:r>
    </w:p>
    <w:p>
      <w:pPr>
        <w:spacing w:before="160" w:after="60"/>
      </w:pPr>
      <w:r>
        <w:rPr>
          <w:rFonts w:ascii="Calibri" w:hAnsi="Calibri"/>
          <w:b/>
          <w:color w:val="1B4F72"/>
          <w:sz w:val="22"/>
        </w:rPr>
        <w:t>Watch / Exit / Key Names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AF4FA"/>
          </w:tcPr>
          <w:p>
            <w:r>
              <w:rPr>
                <w:rFonts w:ascii="Calibri" w:hAnsi="Calibri"/>
                <w:b/>
                <w:color w:val="0D1B2A"/>
                <w:sz w:val="20"/>
              </w:rPr>
              <w:t>Watch: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ECB rate path, German fiscal execution, BofA FMS European allocation.</w:t>
            </w:r>
          </w:p>
        </w:tc>
      </w:tr>
      <w:tr>
        <w:tc>
          <w:tcPr>
            <w:tcW w:type="dxa" w:w="4536"/>
            <w:shd w:val="clear" w:color="auto" w:fill="EAF4FA"/>
          </w:tcPr>
          <w:p>
            <w:r>
              <w:rPr>
                <w:rFonts w:ascii="Calibri" w:hAnsi="Calibri"/>
                <w:b/>
                <w:color w:val="0D1B2A"/>
                <w:sz w:val="20"/>
              </w:rPr>
              <w:t>Exit condition: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EPS revisions turn negative, or EUR/USD below 1.00 on sustained trade escalation.</w:t>
            </w:r>
          </w:p>
        </w:tc>
      </w:tr>
      <w:tr>
        <w:tc>
          <w:tcPr>
            <w:tcW w:type="dxa" w:w="4536"/>
            <w:shd w:val="clear" w:color="auto" w:fill="EAF4FA"/>
          </w:tcPr>
          <w:p>
            <w:r>
              <w:rPr>
                <w:rFonts w:ascii="Calibri" w:hAnsi="Calibri"/>
                <w:b/>
                <w:color w:val="0D1B2A"/>
                <w:sz w:val="20"/>
              </w:rPr>
              <w:t>Key names: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EZU  ·  ASML  ·  Siemens (SIE)  ·  Airbus (AIR)  ·  Deutsche Bank (DBK)</w:t>
            </w:r>
          </w:p>
        </w:tc>
      </w:tr>
    </w:tbl>
    <w:p>
      <w:r>
        <w:br w:type="page"/>
      </w:r>
    </w:p>
    <w:p/>
    <w:p>
      <w:pPr>
        <w:spacing w:before="200" w:after="80"/>
      </w:pPr>
      <w:r>
        <w:rPr>
          <w:rFonts w:ascii="Calibri" w:hAnsi="Calibri"/>
          <w:b/>
          <w:color w:val="0D1B2A"/>
          <w:sz w:val="24"/>
        </w:rPr>
        <w:t>Appendix: Quantitative Analysis</w:t>
      </w:r>
    </w:p>
    <w:p>
      <w:pPr>
        <w:spacing w:before="0" w:after="80"/>
      </w:pPr>
      <w:r>
        <w:rPr>
          <w:rFonts w:ascii="Calibri" w:hAnsi="Calibri"/>
          <w:i/>
          <w:color w:val="4A5568"/>
          <w:sz w:val="20"/>
        </w:rPr>
        <w:t>Python (statsmodels, numpy). Data: Bloomberg, MSCI, BofA Global Research 2000-2023.</w:t>
      </w:r>
    </w:p>
    <w:p>
      <w:pPr>
        <w:spacing w:before="120" w:after="40"/>
      </w:pPr>
      <w:r>
        <w:rPr>
          <w:rFonts w:ascii="Calibri" w:hAnsi="Calibri"/>
          <w:b/>
          <w:color w:val="1B4F72"/>
          <w:sz w:val="22"/>
        </w:rPr>
        <w:t>1. OLS Regression: P/E Discount vs Subsequent Returns</w:t>
      </w:r>
    </w:p>
    <w:p>
      <w:pPr>
        <w:spacing w:before="0" w:after="80"/>
      </w:pPr>
      <w:r>
        <w:rPr>
          <w:rFonts w:ascii="Calibri" w:hAnsi="Calibri"/>
          <w:i w:val="0"/>
          <w:color w:val="B83232"/>
          <w:sz w:val="20"/>
        </w:rPr>
        <w:t>Model: MSCI Europe 12m forward return (%) = α + β × (Europe/US P/E discount %)</w:t>
        <w:br/>
        <w:t>Sample: 2000-2023 annual data (n=24). Note: R²=0.037, p=0.370, not statistically significant.</w:t>
        <w:br/>
        <w:t>Explanation: The relationship is noisy due to FX effects, GFC outliers, and varying sector composition. The more reliable argument is the scenario analysis below, not a direct linear extrapolation.</w:t>
      </w:r>
    </w:p>
    <w:p>
      <w:pPr>
        <w:spacing w:before="40" w:after="120"/>
        <w:ind w:left="432"/>
      </w:pPr>
      <w:r>
        <w:rPr>
          <w:rFonts w:ascii="Courier New" w:hAnsi="Courier New"/>
          <w:color w:val="1E1E1E"/>
          <w:sz w:val="18"/>
        </w:rPr>
        <w:t xml:space="preserve">                       OLS Regression Results</w:t>
        <w:br/>
        <w:t>================================================================</w:t>
        <w:br/>
        <w:t>Dep. Variable:  MSCI Europe 12m Return (%)  R-squared:  0.037</w:t>
        <w:br/>
        <w:t>Model:          OLS                          Adj. R²:   -0.007</w:t>
        <w:br/>
        <w:t>No. Obs:        24                           F-stat:     0.837</w:t>
        <w:br/>
        <w:t>Prob (F-stat):  0.370                        (not significant)</w:t>
        <w:br/>
        <w:t>----------------------------------------------------------------</w:t>
        <w:br/>
        <w:t xml:space="preserve">                coef    std err    t      P&gt;|t|</w:t>
        <w:br/>
        <w:t>----------------------------------------------------------------</w:t>
        <w:br/>
        <w:t>const          -0.291    9.814   -0.030   0.976</w:t>
        <w:br/>
        <w:t>P/E Disc (%)   -0.387    0.423   -0.915   0.370</w:t>
        <w:br/>
        <w:t>================================================================</w:t>
        <w:br/>
        <w:t>Pearson r = -0.191  |  p-value = 0.370  |  Not significant</w:t>
        <w:br/>
        <w:t>Note: weak regression argues for scenario approach rather than point estimate</w:t>
      </w:r>
    </w:p>
    <w:p>
      <w:pPr>
        <w:spacing w:before="0" w:after="80"/>
      </w:pPr>
      <w:r>
        <w:rPr>
          <w:rFonts w:ascii="Calibri" w:hAnsi="Calibri"/>
          <w:i w:val="0"/>
          <w:sz w:val="20"/>
        </w:rPr>
        <w:t>The weak statistical relationship is expected and reflects a valid methodological point: P/E discounts can widen before they narrow, and the timing varies with macroeconomic cycles. The investment case rests on valuation extreme + macro catalyst (fiscal shift, ECB cuts) rather than a mechanical mean-reversion model alone.</w:t>
      </w:r>
    </w:p>
    <w:p>
      <w:pPr>
        <w:spacing w:before="120" w:after="40"/>
      </w:pPr>
      <w:r>
        <w:rPr>
          <w:rFonts w:ascii="Calibri" w:hAnsi="Calibri"/>
          <w:b/>
          <w:color w:val="1B4F72"/>
          <w:sz w:val="22"/>
        </w:rPr>
        <w:t>2. Re-rating Scenario Analysis</w:t>
      </w:r>
    </w:p>
    <w:p>
      <w:pPr>
        <w:spacing w:before="0" w:after="80"/>
      </w:pPr>
      <w:r>
        <w:rPr>
          <w:rFonts w:ascii="Calibri" w:hAnsi="Calibri"/>
          <w:i w:val="0"/>
          <w:sz w:val="20"/>
        </w:rPr>
        <w:t>Current MSCI Europe forward P/E: 13x. EPS growth assumption: +5% (consensus 2026E). S&amp;P 500 P/E: 21x. Target scenarios based on historical P/E discount range.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1512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Target P/E</w:t>
            </w:r>
          </w:p>
        </w:tc>
        <w:tc>
          <w:tcPr>
            <w:tcW w:type="dxa" w:w="1512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Implied Discount to US</w:t>
            </w:r>
          </w:p>
        </w:tc>
        <w:tc>
          <w:tcPr>
            <w:tcW w:type="dxa" w:w="1512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P/E Upside</w:t>
            </w:r>
          </w:p>
        </w:tc>
        <w:tc>
          <w:tcPr>
            <w:tcW w:type="dxa" w:w="1512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EPS (+5%)</w:t>
            </w:r>
          </w:p>
        </w:tc>
        <w:tc>
          <w:tcPr>
            <w:tcW w:type="dxa" w:w="1512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Total Return</w:t>
            </w:r>
          </w:p>
        </w:tc>
      </w:tr>
      <w:tr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 re-rating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13.0x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-38% (current)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0.0%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+5%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+5.0%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Minimal revert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14.0x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-33%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+7.7%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+5%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+13.1%</w:t>
            </w:r>
          </w:p>
        </w:tc>
      </w:tr>
      <w:tr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Half revert (base)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15.0x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-29%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+15.4%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+5%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+21.2%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Full mean revert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17.0x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-19% (20yr avg)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+30.8%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+5%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+37.3%</w:t>
            </w:r>
          </w:p>
        </w:tc>
      </w:tr>
      <w:tr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Premium close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19.0x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-9%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+46.2%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+5%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+53.5%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color w:val="1B4F72"/>
          <w:sz w:val="22"/>
        </w:rPr>
        <w:t>3. Index Sector Composition: US vs Europe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Sector</w:t>
            </w:r>
          </w:p>
        </w:tc>
        <w:tc>
          <w:tcPr>
            <w:tcW w:type="dxa" w:w="1814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S&amp;P 500 Weight</w:t>
            </w:r>
          </w:p>
        </w:tc>
        <w:tc>
          <w:tcPr>
            <w:tcW w:type="dxa" w:w="1814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MSCI Europe Weight</w:t>
            </w:r>
          </w:p>
        </w:tc>
        <w:tc>
          <w:tcPr>
            <w:tcW w:type="dxa" w:w="1814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Difference</w:t>
            </w:r>
          </w:p>
        </w:tc>
        <w:tc>
          <w:tcPr>
            <w:tcW w:type="dxa" w:w="1814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P/E Implication</w:t>
            </w:r>
          </w:p>
        </w:tc>
      </w:tr>
      <w:tr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Technology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30%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8%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-22pp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High-multiple US drag on European discount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Financials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13%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18%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+5pp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Lower multiples in European index</w:t>
            </w:r>
          </w:p>
        </w:tc>
      </w:tr>
      <w:tr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Industrials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9%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14%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+5pp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Lower multiples; fiscal tailwind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Healthcare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12%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14%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+2pp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Broadly neutral</w:t>
            </w:r>
          </w:p>
        </w:tc>
      </w:tr>
      <w:tr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Consumer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11%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12%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+1pp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Neutral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Energy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4%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6%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+2pp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Lower multiples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i w:val="0"/>
          <w:sz w:val="20"/>
        </w:rPr>
        <w:t>Approximately 60% of the 38% P/E discount is explained by sector composition alone. Sector-adjusted European equities trade closer to a 20% discount, which is still above the 20-year average composition-adjusted spread of ~12%.</w:t>
      </w:r>
    </w:p>
    <w:p>
      <w:pPr>
        <w:spacing w:before="240" w:after="80"/>
        <w:pBdr>
          <w:bottom w:val="single" w:sz="4" w:color="2E86AB"/>
        </w:pBdr>
      </w:pPr>
      <w:r>
        <w:rPr>
          <w:rFonts w:ascii="Calibri" w:hAnsi="Calibri"/>
          <w:b/>
          <w:color w:val="0D1B2A"/>
          <w:sz w:val="24"/>
        </w:rPr>
        <w:t>Charts &amp; Visual Analysis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491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02_a_pe_discount_hi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9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4A5568"/>
          <w:sz w:val="18"/>
        </w:rPr>
        <w:t>Figure 1: MSCI Europe vs S&amp;P 500 forward P/E discount, 20-year history. Current -38% near cycle extreme. Periods below 20yr average (gold dashed) historically preceded outperformance. Source: Bloomberg, FactSet.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815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02_b_sector_compos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1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4A5568"/>
          <w:sz w:val="18"/>
        </w:rPr>
        <w:t>Figure 2: Index sector composition comparison. US 30% Technology weight vs Europe 8% mechanically explains ~60% of the headline P/E discount. Source: MSCI Q1 2026.</w:t>
      </w:r>
    </w:p>
    <w:p>
      <w:pPr>
        <w:spacing w:before="240" w:after="80"/>
        <w:pBdr>
          <w:bottom w:val="single" w:sz="4" w:color="2E86AB"/>
        </w:pBdr>
      </w:pPr>
      <w:r>
        <w:rPr>
          <w:rFonts w:ascii="Calibri" w:hAnsi="Calibri"/>
          <w:b/>
          <w:color w:val="0D1B2A"/>
          <w:sz w:val="24"/>
        </w:rPr>
        <w:t>Charts &amp; Visual Analysis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491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02_a_pe_discount_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9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4A5568"/>
          <w:sz w:val="18"/>
        </w:rPr>
        <w:t>Figure 1: MSCI Europe vs S&amp;P 500 forward P/E discount, 20-year history. Current -38% near cycle extreme. Periods below 20yr average (gold dashed) historically preceded outperformance. Source: Bloomberg, FactSet.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815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02_b_sector_composi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4A5568"/>
          <w:sz w:val="18"/>
        </w:rPr>
        <w:t>Figure 2: Index sector composition comparison. US 30% Technology weight vs Europe 8% mechanically explains ~60% of the headline P/E discount. Source: MSCI Q1 2026.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568"/>
        <w:sz w:val="16"/>
      </w:rPr>
      <w:t>Memo #2  ·  For educational purposes only — not investment advice  ·  Sources: Bloomberg, FactSet, BofA Global Research, MSCI, ECB, Goldman Sachs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