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color="0D1B2A"/>
        </w:pBdr>
      </w:pPr>
      <w:r>
        <w:rPr>
          <w:rFonts w:ascii="Calibri" w:hAnsi="Calibri"/>
          <w:color w:val="4A5568"/>
          <w:sz w:val="18"/>
        </w:rPr>
        <w:t>MEMO 03  ·  Q1 2026</w:t>
      </w:r>
    </w:p>
    <w:p>
      <w:pPr>
        <w:spacing w:before="120" w:after="40"/>
      </w:pPr>
      <w:r>
        <w:rPr>
          <w:rFonts w:ascii="Calibri" w:hAnsi="Calibri"/>
          <w:b/>
          <w:color w:val="0D1B2A"/>
          <w:sz w:val="36"/>
        </w:rPr>
        <w:t>Copper: Energy Transition Demand Meets a Decade of Supply Underinvestment</w:t>
      </w:r>
    </w:p>
    <w:p>
      <w:pPr>
        <w:spacing w:before="0" w:after="40"/>
      </w:pPr>
      <w:r>
        <w:rPr>
          <w:rFonts w:ascii="Calibri" w:hAnsi="Calibri"/>
          <w:color w:val="4A5568"/>
          <w:sz w:val="20"/>
        </w:rPr>
        <w:t xml:space="preserve">Asset Class: Commodities / Mining Equities  ·  Q1 2026  </w:t>
      </w:r>
      <w:r>
        <w:rPr>
          <w:rFonts w:ascii="Calibri" w:hAnsi="Calibri"/>
          <w:b/>
          <w:color w:val="1A7A40"/>
          <w:sz w:val="20"/>
        </w:rPr>
        <w:t>Long copper + copper miners, 3-5 year call</w:t>
      </w:r>
    </w:p>
    <w:p>
      <w:pPr>
        <w:pBdr>
          <w:bottom w:val="single" w:sz="4" w:color="2E86AB"/>
        </w:pBdr>
        <w:spacing w:after="120"/>
      </w:pPr>
    </w:p>
    <w:p>
      <w:pPr>
        <w:spacing w:before="0" w:after="100"/>
      </w:pPr>
      <w:r>
        <w:rPr>
          <w:rFonts w:ascii="Calibri" w:hAnsi="Calibri"/>
          <w:i w:val="0"/>
          <w:sz w:val="21"/>
        </w:rPr>
        <w:t>Copper sits at $4.50/lb, close to its long-run average in real terms. The market is not pricing a structural deficit. The ICSG projects an 8.1 million tonne cumulative shortfall through 2030 even with best-case mine delivery. Energy transition demand and AI data centre growth are layering new consumption onto an already strained supply pipeline. Copper miners trade at a 22% discount to their five-year EV/EBITDA average.</w:t>
      </w:r>
    </w:p>
    <w:p>
      <w:pPr>
        <w:spacing w:before="160" w:after="60"/>
      </w:pPr>
      <w:r>
        <w:rPr>
          <w:rFonts w:ascii="Calibri" w:hAnsi="Calibri"/>
          <w:b/>
          <w:color w:val="0D1B2A"/>
          <w:sz w:val="24"/>
        </w:rPr>
        <w:t>Key Metrics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D1B2A"/>
            <w:vAlign w:val="center"/>
          </w:tcPr>
          <w:p>
            <w:pPr>
              <w:jc w:val="center"/>
            </w:pPr>
            <w:r>
              <w:rPr>
                <w:rFonts w:ascii="Calibri" w:hAnsi="Calibri"/>
                <w:b/>
                <w:color w:val="C9993A"/>
                <w:sz w:val="36"/>
              </w:rPr>
              <w:t>$4.50/lb</w:t>
            </w:r>
          </w:p>
        </w:tc>
        <w:tc>
          <w:tcPr>
            <w:tcW w:type="dxa" w:w="3024"/>
            <w:shd w:val="clear" w:color="auto" w:fill="0D1B2A"/>
            <w:vAlign w:val="center"/>
          </w:tcPr>
          <w:p>
            <w:pPr>
              <w:jc w:val="center"/>
            </w:pPr>
            <w:r>
              <w:rPr>
                <w:rFonts w:ascii="Calibri" w:hAnsi="Calibri"/>
                <w:b/>
                <w:color w:val="C9993A"/>
                <w:sz w:val="36"/>
              </w:rPr>
              <w:t>8.1 Mt</w:t>
            </w:r>
          </w:p>
        </w:tc>
        <w:tc>
          <w:tcPr>
            <w:tcW w:type="dxa" w:w="3024"/>
            <w:shd w:val="clear" w:color="auto" w:fill="0D1B2A"/>
            <w:vAlign w:val="center"/>
          </w:tcPr>
          <w:p>
            <w:pPr>
              <w:jc w:val="center"/>
            </w:pPr>
            <w:r>
              <w:rPr>
                <w:rFonts w:ascii="Calibri" w:hAnsi="Calibri"/>
                <w:b/>
                <w:color w:val="C9993A"/>
                <w:sz w:val="36"/>
              </w:rPr>
              <w:t>-22%</w:t>
            </w:r>
          </w:p>
        </w:tc>
      </w:tr>
      <w:tr>
        <w:tc>
          <w:tcPr>
            <w:tcW w:type="dxa" w:w="3024"/>
            <w:shd w:val="clear" w:color="auto" w:fill="1B4F72"/>
          </w:tcPr>
          <w:p>
            <w:pPr>
              <w:jc w:val="center"/>
            </w:pPr>
            <w:r>
              <w:rPr>
                <w:rFonts w:ascii="Calibri" w:hAnsi="Calibri"/>
                <w:color w:val="FFFFFF"/>
                <w:sz w:val="18"/>
              </w:rPr>
              <w:t>Copper spot price</w:t>
              <w:br/>
              <w:t>(vs $3.20/lb long-run real avg)</w:t>
            </w:r>
          </w:p>
        </w:tc>
        <w:tc>
          <w:tcPr>
            <w:tcW w:type="dxa" w:w="3024"/>
            <w:shd w:val="clear" w:color="auto" w:fill="1B4F72"/>
          </w:tcPr>
          <w:p>
            <w:pPr>
              <w:jc w:val="center"/>
            </w:pPr>
            <w:r>
              <w:rPr>
                <w:rFonts w:ascii="Calibri" w:hAnsi="Calibri"/>
                <w:color w:val="FFFFFF"/>
                <w:sz w:val="18"/>
              </w:rPr>
              <w:t>ICSG cumulative deficit 2025-30E</w:t>
              <w:br/>
              <w:t>(best-case supply delivery)</w:t>
            </w:r>
          </w:p>
        </w:tc>
        <w:tc>
          <w:tcPr>
            <w:tcW w:type="dxa" w:w="3024"/>
            <w:shd w:val="clear" w:color="auto" w:fill="1B4F72"/>
          </w:tcPr>
          <w:p>
            <w:pPr>
              <w:jc w:val="center"/>
            </w:pPr>
            <w:r>
              <w:rPr>
                <w:rFonts w:ascii="Calibri" w:hAnsi="Calibri"/>
                <w:color w:val="FFFFFF"/>
                <w:sz w:val="18"/>
              </w:rPr>
              <w:t>Copper miner EV/EBITDA discount</w:t>
              <w:br/>
              <w:t>to 5yr average (FCX, SCCO, BHP)</w:t>
            </w:r>
          </w:p>
        </w:tc>
      </w:tr>
    </w:tbl>
    <w:p>
      <w:pPr>
        <w:spacing w:before="0" w:after="160"/>
      </w:pPr>
    </w:p>
    <w:p>
      <w:pPr>
        <w:spacing w:before="160" w:after="60"/>
      </w:pPr>
      <w:r>
        <w:rPr>
          <w:rFonts w:ascii="Calibri" w:hAnsi="Calibri"/>
          <w:b/>
          <w:color w:val="0D1B2A"/>
          <w:sz w:val="24"/>
        </w:rPr>
        <w:t>Investment Thesis</w:t>
      </w:r>
    </w:p>
    <w:p>
      <w:pPr>
        <w:pStyle w:val="ListBullet"/>
        <w:spacing w:before="40" w:after="60"/>
        <w:ind w:left="360"/>
      </w:pPr>
      <w:r>
        <w:rPr>
          <w:rFonts w:ascii="Calibri" w:hAnsi="Calibri"/>
          <w:b/>
          <w:color w:val="0D1B2A"/>
          <w:sz w:val="21"/>
        </w:rPr>
        <w:t xml:space="preserve">Energy transition demand is not a cyclical story:  </w:t>
      </w:r>
      <w:r>
        <w:rPr>
          <w:rFonts w:ascii="Calibri" w:hAnsi="Calibri"/>
          <w:sz w:val="21"/>
        </w:rPr>
        <w:t>A single electric vehicle requires 83kg of copper versus 23kg for a comparable ICE vehicle. Each GW of solar capacity needs 5,500 tonnes. Grid upgrades for EV charging and renewable integration add another layer. The IEA projects energy transition copper demand reaching 4.5 Mt/year by 2030, up from 0.9 Mt in 2020.</w:t>
      </w:r>
    </w:p>
    <w:p>
      <w:pPr>
        <w:pStyle w:val="ListBullet"/>
        <w:spacing w:before="40" w:after="60"/>
        <w:ind w:left="360"/>
      </w:pPr>
      <w:r>
        <w:rPr>
          <w:rFonts w:ascii="Calibri" w:hAnsi="Calibri"/>
          <w:b/>
          <w:color w:val="0D1B2A"/>
          <w:sz w:val="21"/>
        </w:rPr>
        <w:t xml:space="preserve">AI data centres are an underappreciated demand driver:  </w:t>
      </w:r>
      <w:r>
        <w:rPr>
          <w:rFonts w:ascii="Calibri" w:hAnsi="Calibri"/>
          <w:sz w:val="21"/>
        </w:rPr>
        <w:t>Modern GPU server racks use 50-60kg of copper each, plus liquid cooling loops that are 3-4x more copper-intensive than air-cooled systems. Hyperscaler capex of $600bn+ in 2026 translates to direct copper demand that was not in forecasts two years ago.</w:t>
      </w:r>
    </w:p>
    <w:p>
      <w:pPr>
        <w:pStyle w:val="ListBullet"/>
        <w:spacing w:before="40" w:after="60"/>
        <w:ind w:left="360"/>
      </w:pPr>
      <w:r>
        <w:rPr>
          <w:rFonts w:ascii="Calibri" w:hAnsi="Calibri"/>
          <w:b/>
          <w:color w:val="0D1B2A"/>
          <w:sz w:val="21"/>
        </w:rPr>
        <w:t xml:space="preserve">Supply pipeline cannot close the gap:  </w:t>
      </w:r>
      <w:r>
        <w:rPr>
          <w:rFonts w:ascii="Calibri" w:hAnsi="Calibri"/>
          <w:sz w:val="21"/>
        </w:rPr>
        <w:t>The committed mine pipeline adds roughly 3.2 Mt/year of new capacity by 2030. Average mine-to-production lead time is 16 years. The probable pipeline (projects with permits but no final investment decision) would close the deficit, but history suggests only 60-70% of probable projects reach production on schedule. At that rate, the deficit persists.</w:t>
      </w:r>
    </w:p>
    <w:p>
      <w:pPr>
        <w:pStyle w:val="ListBullet"/>
        <w:spacing w:before="40" w:after="60"/>
        <w:ind w:left="360"/>
      </w:pPr>
      <w:r>
        <w:rPr>
          <w:rFonts w:ascii="Calibri" w:hAnsi="Calibri"/>
          <w:b/>
          <w:color w:val="0D1B2A"/>
          <w:sz w:val="21"/>
        </w:rPr>
        <w:t xml:space="preserve">Miners are cheap relative to the commodity:  </w:t>
      </w:r>
      <w:r>
        <w:rPr>
          <w:rFonts w:ascii="Calibri" w:hAnsi="Calibri"/>
          <w:sz w:val="21"/>
        </w:rPr>
        <w:t>Copper miners trade at 7.2x forward EV/EBITDA against a five-year average of 9.2x, a 22% discount. FCX is at 9.1x vs its 12.3x average (-26%). SCCO at 11.8x vs 14.8x average (-20%). The miners are pricing a copper price well below spot.</w:t>
      </w:r>
    </w:p>
    <w:p>
      <w:pPr>
        <w:spacing w:before="160" w:after="60"/>
      </w:pPr>
      <w:r>
        <w:rPr>
          <w:rFonts w:ascii="Calibri" w:hAnsi="Calibri"/>
          <w:b/>
          <w:color w:val="0D1B2A"/>
          <w:sz w:val="24"/>
        </w:rPr>
        <w:t>Market Context</w:t>
      </w:r>
    </w:p>
    <w:p>
      <w:pPr>
        <w:spacing w:before="0" w:after="100"/>
      </w:pPr>
      <w:r>
        <w:rPr>
          <w:rFonts w:ascii="Calibri" w:hAnsi="Calibri"/>
          <w:i w:val="0"/>
          <w:sz w:val="21"/>
        </w:rPr>
        <w:t>The supply story is well understood at the commodity level but still underpriced by equity markets. Mine development timelines mean the supply response to current prices will arrive, if at all, in the early 2030s. Cobre Panama (300,000 tonnes per year of capacity, suspended in 2023 due to political opposition, removed approximately 1.2% of global supply at a stroke. Similar project risk exists across Latin America and Central Africa.</w:t>
      </w:r>
    </w:p>
    <w:p>
      <w:pPr>
        <w:spacing w:before="0" w:after="100"/>
      </w:pPr>
      <w:r>
        <w:rPr>
          <w:rFonts w:ascii="Calibri" w:hAnsi="Calibri"/>
          <w:i w:val="0"/>
          <w:sz w:val="21"/>
        </w:rPr>
        <w:t>At $4.50/lb, copper is not pricing a supply deficit. The Goldman Sachs 12-month target is $5.50-6.00/lb in their base case, with $7.00+/lb possible if energy transition demand accelerates as the IEA projects. At $5.50/lb, miner EV/EBITDA contracts sharply and the discount to five-year averages closes significantly.</w:t>
      </w:r>
    </w:p>
    <w:p>
      <w:pPr>
        <w:spacing w:before="160" w:after="60"/>
      </w:pPr>
      <w:r>
        <w:rPr>
          <w:rFonts w:ascii="Calibri" w:hAnsi="Calibri"/>
          <w:b/>
          <w:color w:val="0D1B2A"/>
          <w:sz w:val="24"/>
        </w:rPr>
        <w:t>Rerating Catalysts</w:t>
      </w:r>
    </w:p>
    <w:p>
      <w:pPr>
        <w:pStyle w:val="ListBullet"/>
        <w:spacing w:before="40" w:after="60"/>
        <w:ind w:left="360"/>
      </w:pPr>
      <w:r>
        <w:rPr>
          <w:rFonts w:ascii="Calibri" w:hAnsi="Calibri"/>
          <w:b/>
          <w:color w:val="0D1B2A"/>
          <w:sz w:val="21"/>
        </w:rPr>
        <w:t xml:space="preserve">China PMI recovery:  </w:t>
      </w:r>
      <w:r>
        <w:rPr>
          <w:rFonts w:ascii="Calibri" w:hAnsi="Calibri"/>
          <w:sz w:val="21"/>
        </w:rPr>
        <w:t>Chinese manufacturing PMI sustained above 50 has historically correlated with 8-12% copper price appreciation over the following 12 months. PBoC stimulus (50bp RRR cut, property sector support) is the most coordinated since 2016.</w:t>
      </w:r>
    </w:p>
    <w:p>
      <w:pPr>
        <w:pStyle w:val="ListBullet"/>
        <w:spacing w:before="40" w:after="60"/>
        <w:ind w:left="360"/>
      </w:pPr>
      <w:r>
        <w:rPr>
          <w:rFonts w:ascii="Calibri" w:hAnsi="Calibri"/>
          <w:b/>
          <w:color w:val="0D1B2A"/>
          <w:sz w:val="21"/>
        </w:rPr>
        <w:t xml:space="preserve">Energy transition demand visibility:  </w:t>
      </w:r>
      <w:r>
        <w:rPr>
          <w:rFonts w:ascii="Calibri" w:hAnsi="Calibri"/>
          <w:sz w:val="21"/>
        </w:rPr>
        <w:t>EU mandates for renewable grid buildout, US IRA spending data, and EV penetration rates above forecast would each catalyse upward revisions to demand models from WoodMac and ICSG.</w:t>
      </w:r>
    </w:p>
    <w:p>
      <w:pPr>
        <w:pStyle w:val="ListBullet"/>
        <w:spacing w:before="40" w:after="60"/>
        <w:ind w:left="360"/>
      </w:pPr>
      <w:r>
        <w:rPr>
          <w:rFonts w:ascii="Calibri" w:hAnsi="Calibri"/>
          <w:b/>
          <w:color w:val="0D1B2A"/>
          <w:sz w:val="21"/>
        </w:rPr>
        <w:t xml:space="preserve">Supply disruption:  </w:t>
      </w:r>
      <w:r>
        <w:rPr>
          <w:rFonts w:ascii="Calibri" w:hAnsi="Calibri"/>
          <w:sz w:val="21"/>
        </w:rPr>
        <w:t>Any unexpected mine closure or permitting setback in a major producing jurisdiction tightens the market faster than demand forecasts alone. This is a tail risk but has historically been a consistent feature of copper supply, not an outlier.</w:t>
      </w:r>
    </w:p>
    <w:p>
      <w:pPr>
        <w:spacing w:before="160" w:after="60"/>
      </w:pPr>
      <w:r>
        <w:rPr>
          <w:rFonts w:ascii="Calibri" w:hAnsi="Calibri"/>
          <w:b/>
          <w:color w:val="0D1B2A"/>
          <w:sz w:val="24"/>
        </w:rPr>
        <w:t>Key Risks</w:t>
      </w:r>
    </w:p>
    <w:p>
      <w:pPr>
        <w:pStyle w:val="ListBullet"/>
        <w:spacing w:before="40" w:after="60"/>
        <w:ind w:left="360"/>
      </w:pPr>
      <w:r>
        <w:rPr>
          <w:rFonts w:ascii="Calibri" w:hAnsi="Calibri"/>
          <w:b/>
          <w:color w:val="0D1B2A"/>
          <w:sz w:val="21"/>
        </w:rPr>
        <w:t xml:space="preserve">Demand destruction from global slowdown:  </w:t>
      </w:r>
      <w:r>
        <w:rPr>
          <w:rFonts w:ascii="Calibri" w:hAnsi="Calibri"/>
          <w:sz w:val="21"/>
        </w:rPr>
        <w:t>Chinese construction remains the single largest copper end-use. A prolonged Chinese property sector contraction could offset energy transition gains in net demand terms.</w:t>
      </w:r>
    </w:p>
    <w:p>
      <w:pPr>
        <w:pStyle w:val="ListBullet"/>
        <w:spacing w:before="40" w:after="60"/>
        <w:ind w:left="360"/>
      </w:pPr>
      <w:r>
        <w:rPr>
          <w:rFonts w:ascii="Calibri" w:hAnsi="Calibri"/>
          <w:b/>
          <w:color w:val="0D1B2A"/>
          <w:sz w:val="21"/>
        </w:rPr>
        <w:t xml:space="preserve">USD strength:  </w:t>
      </w:r>
      <w:r>
        <w:rPr>
          <w:rFonts w:ascii="Calibri" w:hAnsi="Calibri"/>
          <w:sz w:val="21"/>
        </w:rPr>
        <w:t>A sustained DXY above 108 would create commodity headwinds and tighten financial conditions in EM copper-consuming economies.</w:t>
      </w:r>
    </w:p>
    <w:p>
      <w:pPr>
        <w:pStyle w:val="ListBullet"/>
        <w:spacing w:before="40" w:after="60"/>
        <w:ind w:left="360"/>
      </w:pPr>
      <w:r>
        <w:rPr>
          <w:rFonts w:ascii="Calibri" w:hAnsi="Calibri"/>
          <w:b/>
          <w:color w:val="0D1B2A"/>
          <w:sz w:val="21"/>
        </w:rPr>
        <w:t xml:space="preserve">Substitution risk:  </w:t>
      </w:r>
      <w:r>
        <w:rPr>
          <w:rFonts w:ascii="Calibri" w:hAnsi="Calibri"/>
          <w:sz w:val="21"/>
        </w:rPr>
        <w:t>Aluminium substitution in power cables has historical precedent at high copper prices. If sustained above $6/lb, substitution could dampen demand forecasts materially.</w:t>
      </w:r>
    </w:p>
    <w:p>
      <w:pPr>
        <w:pStyle w:val="ListBullet"/>
        <w:spacing w:before="40" w:after="60"/>
        <w:ind w:left="360"/>
      </w:pPr>
      <w:r>
        <w:rPr>
          <w:rFonts w:ascii="Calibri" w:hAnsi="Calibri"/>
          <w:b/>
          <w:color w:val="0D1B2A"/>
          <w:sz w:val="21"/>
        </w:rPr>
        <w:t xml:space="preserve">Project acceleration:  </w:t>
      </w:r>
      <w:r>
        <w:rPr>
          <w:rFonts w:ascii="Calibri" w:hAnsi="Calibri"/>
          <w:sz w:val="21"/>
        </w:rPr>
        <w:t>If the probable mine pipeline converts faster than the historical 60-70% rate, particularly if greenfield projects in DRC and Zambia receive final investment decisions, the deficit could prove smaller than the ICSG base case.</w:t>
      </w:r>
    </w:p>
    <w:p>
      <w:pPr>
        <w:spacing w:before="160" w:after="60"/>
      </w:pPr>
      <w:r>
        <w:rPr>
          <w:rFonts w:ascii="Calibri" w:hAnsi="Calibri"/>
          <w:b/>
          <w:color w:val="0D1B2A"/>
          <w:sz w:val="24"/>
        </w:rPr>
        <w:t>Conclusion</w:t>
      </w:r>
    </w:p>
    <w:p>
      <w:pPr>
        <w:spacing w:before="0" w:after="100"/>
      </w:pPr>
      <w:r>
        <w:rPr>
          <w:rFonts w:ascii="Calibri" w:hAnsi="Calibri"/>
          <w:i w:val="0"/>
          <w:color w:val="0D1B2A"/>
          <w:sz w:val="21"/>
        </w:rPr>
        <w:t>The copper bull case does not need a demand boom. It needs the market to price a supply deficit that the ICSG already projects in its base case. At current miner valuations, even a partial mean-reversion in EV/EBITDA from 7.2x to the five-year average of 9.2x implies 27% upside on multiple expansion alone, before any copper price increase. The discount is the margin of safety; the deficit is the upside.</w:t>
      </w:r>
    </w:p>
    <w:p>
      <w:pPr>
        <w:spacing w:before="160" w:after="60"/>
      </w:pPr>
      <w:r>
        <w:rPr>
          <w:rFonts w:ascii="Calibri" w:hAnsi="Calibri"/>
          <w:b/>
          <w:color w:val="1B4F72"/>
          <w:sz w:val="22"/>
        </w:rPr>
        <w:t>Watch / Exit / Key Names</w:t>
      </w:r>
    </w:p>
    <w:tbl>
      <w:tblPr>
        <w:tblStyle w:val="TableGrid"/>
        <w:tblW w:type="auto" w:w="0"/>
        <w:tblLook w:firstColumn="1" w:firstRow="1" w:lastColumn="0" w:lastRow="0" w:noHBand="0" w:noVBand="1" w:val="04A0"/>
      </w:tblPr>
      <w:tblGrid>
        <w:gridCol w:w="4536"/>
        <w:gridCol w:w="4536"/>
      </w:tblGrid>
      <w:tr>
        <w:tc>
          <w:tcPr>
            <w:tcW w:type="dxa" w:w="4536"/>
            <w:shd w:val="clear" w:color="auto" w:fill="EAF4FA"/>
          </w:tcPr>
          <w:p>
            <w:r>
              <w:rPr>
                <w:rFonts w:ascii="Calibri" w:hAnsi="Calibri"/>
                <w:b/>
                <w:color w:val="0D1B2A"/>
                <w:sz w:val="20"/>
              </w:rPr>
              <w:t>Watch:</w:t>
            </w:r>
          </w:p>
        </w:tc>
        <w:tc>
          <w:tcPr>
            <w:tcW w:type="dxa" w:w="4536"/>
          </w:tcPr>
          <w:p>
            <w:r>
              <w:rPr>
                <w:rFonts w:ascii="Calibri" w:hAnsi="Calibri"/>
                <w:sz w:val="20"/>
              </w:rPr>
              <w:t>China PMI monthly prints. Cobre Panama reinstatement timeline. Global EV penetration rates.</w:t>
            </w:r>
          </w:p>
        </w:tc>
      </w:tr>
      <w:tr>
        <w:tc>
          <w:tcPr>
            <w:tcW w:type="dxa" w:w="4536"/>
            <w:shd w:val="clear" w:color="auto" w:fill="EAF4FA"/>
          </w:tcPr>
          <w:p>
            <w:r>
              <w:rPr>
                <w:rFonts w:ascii="Calibri" w:hAnsi="Calibri"/>
                <w:b/>
                <w:color w:val="0D1B2A"/>
                <w:sz w:val="20"/>
              </w:rPr>
              <w:t>Exit condition:</w:t>
            </w:r>
          </w:p>
        </w:tc>
        <w:tc>
          <w:tcPr>
            <w:tcW w:type="dxa" w:w="4536"/>
          </w:tcPr>
          <w:p>
            <w:r>
              <w:rPr>
                <w:rFonts w:ascii="Calibri" w:hAnsi="Calibri"/>
                <w:sz w:val="20"/>
              </w:rPr>
              <w:t>Chinese construction starts sustained decline year-on-year; USD above 108 for 3+ months.</w:t>
            </w:r>
          </w:p>
        </w:tc>
      </w:tr>
      <w:tr>
        <w:tc>
          <w:tcPr>
            <w:tcW w:type="dxa" w:w="4536"/>
            <w:shd w:val="clear" w:color="auto" w:fill="EAF4FA"/>
          </w:tcPr>
          <w:p>
            <w:r>
              <w:rPr>
                <w:rFonts w:ascii="Calibri" w:hAnsi="Calibri"/>
                <w:b/>
                <w:color w:val="0D1B2A"/>
                <w:sz w:val="20"/>
              </w:rPr>
              <w:t>Key names:</w:t>
            </w:r>
          </w:p>
        </w:tc>
        <w:tc>
          <w:tcPr>
            <w:tcW w:type="dxa" w:w="4536"/>
          </w:tcPr>
          <w:p>
            <w:r>
              <w:rPr>
                <w:rFonts w:ascii="Calibri" w:hAnsi="Calibri"/>
                <w:sz w:val="20"/>
              </w:rPr>
              <w:t>Freeport-McMoRan (FCX)  ·  SCCO  ·  BHP  ·  Antofagasta (ANTO)  ·  Teck (TECK)</w:t>
            </w:r>
          </w:p>
        </w:tc>
      </w:tr>
    </w:tbl>
    <w:p>
      <w:r>
        <w:br w:type="page"/>
      </w:r>
    </w:p>
    <w:p/>
    <w:p>
      <w:pPr>
        <w:spacing w:before="200" w:after="80"/>
      </w:pPr>
      <w:r>
        <w:rPr>
          <w:rFonts w:ascii="Calibri" w:hAnsi="Calibri"/>
          <w:b/>
          <w:color w:val="0D1B2A"/>
          <w:sz w:val="24"/>
        </w:rPr>
        <w:t>Appendix: Quantitative Analysis</w:t>
      </w:r>
    </w:p>
    <w:p>
      <w:pPr>
        <w:spacing w:before="0" w:after="80"/>
      </w:pPr>
      <w:r>
        <w:rPr>
          <w:rFonts w:ascii="Calibri" w:hAnsi="Calibri"/>
          <w:i/>
          <w:color w:val="4A5568"/>
          <w:sz w:val="20"/>
        </w:rPr>
        <w:t>Python (statsmodels, numpy). Data: ICSG, Wood Mackenzie, IEA, Bloomberg 2024-2030E.</w:t>
      </w:r>
    </w:p>
    <w:p>
      <w:pPr>
        <w:spacing w:before="120" w:after="40"/>
      </w:pPr>
      <w:r>
        <w:rPr>
          <w:rFonts w:ascii="Calibri" w:hAnsi="Calibri"/>
          <w:b/>
          <w:color w:val="1B4F72"/>
          <w:sz w:val="22"/>
        </w:rPr>
        <w:t>1. Supply-Demand Balance Model (Mt), 2024-2030E</w:t>
      </w:r>
    </w:p>
    <w:p>
      <w:pPr>
        <w:spacing w:before="0" w:after="80"/>
      </w:pPr>
      <w:r>
        <w:rPr>
          <w:rFonts w:ascii="Calibri" w:hAnsi="Calibri"/>
          <w:i w:val="0"/>
          <w:sz w:val="20"/>
        </w:rPr>
        <w:t>Demand decomposed into three structural drivers. Supply split into existing mines (declining grades), committed projects (FID taken), and probable projects (permitted, no FID). Base case excludes probable projects based on historical 60-70% conversion rate. Source: ICSG 2024 Copper Market Outlook, Wood Mackenzie Mine Supply Database.</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0D1B2A"/>
          </w:tcPr>
          <w:p>
            <w:pPr>
              <w:jc w:val="center"/>
            </w:pPr>
            <w:r>
              <w:rPr>
                <w:rFonts w:ascii="Calibri" w:hAnsi="Calibri"/>
                <w:b/>
                <w:color w:val="FFFFFF"/>
                <w:sz w:val="19"/>
              </w:rPr>
              <w:t>Year</w:t>
            </w:r>
          </w:p>
        </w:tc>
        <w:tc>
          <w:tcPr>
            <w:tcW w:type="dxa" w:w="1134"/>
            <w:shd w:val="clear" w:color="auto" w:fill="0D1B2A"/>
          </w:tcPr>
          <w:p>
            <w:pPr>
              <w:jc w:val="center"/>
            </w:pPr>
            <w:r>
              <w:rPr>
                <w:rFonts w:ascii="Calibri" w:hAnsi="Calibri"/>
                <w:b/>
                <w:color w:val="FFFFFF"/>
                <w:sz w:val="19"/>
              </w:rPr>
              <w:t>Traditional</w:t>
            </w:r>
          </w:p>
        </w:tc>
        <w:tc>
          <w:tcPr>
            <w:tcW w:type="dxa" w:w="1134"/>
            <w:shd w:val="clear" w:color="auto" w:fill="0D1B2A"/>
          </w:tcPr>
          <w:p>
            <w:pPr>
              <w:jc w:val="center"/>
            </w:pPr>
            <w:r>
              <w:rPr>
                <w:rFonts w:ascii="Calibri" w:hAnsi="Calibri"/>
                <w:b/>
                <w:color w:val="FFFFFF"/>
                <w:sz w:val="19"/>
              </w:rPr>
              <w:t>Energy Trans.</w:t>
            </w:r>
          </w:p>
        </w:tc>
        <w:tc>
          <w:tcPr>
            <w:tcW w:type="dxa" w:w="1134"/>
            <w:shd w:val="clear" w:color="auto" w:fill="0D1B2A"/>
          </w:tcPr>
          <w:p>
            <w:pPr>
              <w:jc w:val="center"/>
            </w:pPr>
            <w:r>
              <w:rPr>
                <w:rFonts w:ascii="Calibri" w:hAnsi="Calibri"/>
                <w:b/>
                <w:color w:val="FFFFFF"/>
                <w:sz w:val="19"/>
              </w:rPr>
              <w:t>AI/DC</w:t>
            </w:r>
          </w:p>
        </w:tc>
        <w:tc>
          <w:tcPr>
            <w:tcW w:type="dxa" w:w="1134"/>
            <w:shd w:val="clear" w:color="auto" w:fill="0D1B2A"/>
          </w:tcPr>
          <w:p>
            <w:pPr>
              <w:jc w:val="center"/>
            </w:pPr>
            <w:r>
              <w:rPr>
                <w:rFonts w:ascii="Calibri" w:hAnsi="Calibri"/>
                <w:b/>
                <w:color w:val="FFFFFF"/>
                <w:sz w:val="19"/>
              </w:rPr>
              <w:t>Total Demand</w:t>
            </w:r>
          </w:p>
        </w:tc>
        <w:tc>
          <w:tcPr>
            <w:tcW w:type="dxa" w:w="1134"/>
            <w:shd w:val="clear" w:color="auto" w:fill="0D1B2A"/>
          </w:tcPr>
          <w:p>
            <w:pPr>
              <w:jc w:val="center"/>
            </w:pPr>
            <w:r>
              <w:rPr>
                <w:rFonts w:ascii="Calibri" w:hAnsi="Calibri"/>
                <w:b/>
                <w:color w:val="FFFFFF"/>
                <w:sz w:val="19"/>
              </w:rPr>
              <w:t>Supply (Base)</w:t>
            </w:r>
          </w:p>
        </w:tc>
        <w:tc>
          <w:tcPr>
            <w:tcW w:type="dxa" w:w="1134"/>
            <w:shd w:val="clear" w:color="auto" w:fill="0D1B2A"/>
          </w:tcPr>
          <w:p>
            <w:pPr>
              <w:jc w:val="center"/>
            </w:pPr>
            <w:r>
              <w:rPr>
                <w:rFonts w:ascii="Calibri" w:hAnsi="Calibri"/>
                <w:b/>
                <w:color w:val="FFFFFF"/>
                <w:sz w:val="19"/>
              </w:rPr>
              <w:t>Annual Deficit</w:t>
            </w:r>
          </w:p>
        </w:tc>
        <w:tc>
          <w:tcPr>
            <w:tcW w:type="dxa" w:w="1134"/>
            <w:shd w:val="clear" w:color="auto" w:fill="0D1B2A"/>
          </w:tcPr>
          <w:p>
            <w:pPr>
              <w:jc w:val="center"/>
            </w:pPr>
            <w:r>
              <w:rPr>
                <w:rFonts w:ascii="Calibri" w:hAnsi="Calibri"/>
                <w:b/>
                <w:color w:val="FFFFFF"/>
                <w:sz w:val="19"/>
              </w:rPr>
              <w:t>Cumulative</w:t>
            </w:r>
          </w:p>
        </w:tc>
      </w:tr>
      <w:tr>
        <w:tc>
          <w:tcPr>
            <w:tcW w:type="dxa" w:w="1134"/>
            <w:shd w:val="clear" w:color="auto" w:fill="F4F6F8"/>
          </w:tcPr>
          <w:p>
            <w:pPr>
              <w:jc w:val="center"/>
            </w:pPr>
            <w:r>
              <w:rPr>
                <w:rFonts w:ascii="Calibri" w:hAnsi="Calibri"/>
                <w:sz w:val="19"/>
              </w:rPr>
              <w:t>2024</w:t>
            </w:r>
          </w:p>
        </w:tc>
        <w:tc>
          <w:tcPr>
            <w:tcW w:type="dxa" w:w="1134"/>
            <w:shd w:val="clear" w:color="auto" w:fill="F4F6F8"/>
          </w:tcPr>
          <w:p>
            <w:pPr>
              <w:jc w:val="center"/>
            </w:pPr>
            <w:r>
              <w:rPr>
                <w:rFonts w:ascii="Calibri" w:hAnsi="Calibri"/>
                <w:sz w:val="19"/>
              </w:rPr>
              <w:t>22.8 Mt</w:t>
            </w:r>
          </w:p>
        </w:tc>
        <w:tc>
          <w:tcPr>
            <w:tcW w:type="dxa" w:w="1134"/>
            <w:shd w:val="clear" w:color="auto" w:fill="F4F6F8"/>
          </w:tcPr>
          <w:p>
            <w:pPr>
              <w:jc w:val="center"/>
            </w:pPr>
            <w:r>
              <w:rPr>
                <w:rFonts w:ascii="Calibri" w:hAnsi="Calibri"/>
                <w:sz w:val="19"/>
              </w:rPr>
              <w:t>1.8 Mt</w:t>
            </w:r>
          </w:p>
        </w:tc>
        <w:tc>
          <w:tcPr>
            <w:tcW w:type="dxa" w:w="1134"/>
            <w:shd w:val="clear" w:color="auto" w:fill="F4F6F8"/>
          </w:tcPr>
          <w:p>
            <w:pPr>
              <w:jc w:val="center"/>
            </w:pPr>
            <w:r>
              <w:rPr>
                <w:rFonts w:ascii="Calibri" w:hAnsi="Calibri"/>
                <w:sz w:val="19"/>
              </w:rPr>
              <w:t>0.2 Mt</w:t>
            </w:r>
          </w:p>
        </w:tc>
        <w:tc>
          <w:tcPr>
            <w:tcW w:type="dxa" w:w="1134"/>
            <w:shd w:val="clear" w:color="auto" w:fill="F4F6F8"/>
          </w:tcPr>
          <w:p>
            <w:pPr>
              <w:jc w:val="center"/>
            </w:pPr>
            <w:r>
              <w:rPr>
                <w:rFonts w:ascii="Calibri" w:hAnsi="Calibri"/>
                <w:sz w:val="19"/>
              </w:rPr>
              <w:t>24.8 Mt</w:t>
            </w:r>
          </w:p>
        </w:tc>
        <w:tc>
          <w:tcPr>
            <w:tcW w:type="dxa" w:w="1134"/>
            <w:shd w:val="clear" w:color="auto" w:fill="F4F6F8"/>
          </w:tcPr>
          <w:p>
            <w:pPr>
              <w:jc w:val="center"/>
            </w:pPr>
            <w:r>
              <w:rPr>
                <w:rFonts w:ascii="Calibri" w:hAnsi="Calibri"/>
                <w:sz w:val="19"/>
              </w:rPr>
              <w:t>22.4 Mt</w:t>
            </w:r>
          </w:p>
        </w:tc>
        <w:tc>
          <w:tcPr>
            <w:tcW w:type="dxa" w:w="1134"/>
            <w:shd w:val="clear" w:color="auto" w:fill="F4F6F8"/>
          </w:tcPr>
          <w:p>
            <w:pPr>
              <w:jc w:val="center"/>
            </w:pPr>
            <w:r>
              <w:rPr>
                <w:rFonts w:ascii="Calibri" w:hAnsi="Calibri"/>
                <w:sz w:val="19"/>
              </w:rPr>
              <w:t>-2.4 Mt</w:t>
            </w:r>
          </w:p>
        </w:tc>
        <w:tc>
          <w:tcPr>
            <w:tcW w:type="dxa" w:w="1134"/>
            <w:shd w:val="clear" w:color="auto" w:fill="F4F6F8"/>
          </w:tcPr>
          <w:p>
            <w:pPr>
              <w:jc w:val="center"/>
            </w:pPr>
            <w:r>
              <w:rPr>
                <w:rFonts w:ascii="Calibri" w:hAnsi="Calibri"/>
                <w:sz w:val="19"/>
              </w:rPr>
              <w:t>-2.4 Mt</w:t>
            </w:r>
          </w:p>
        </w:tc>
      </w:tr>
      <w:tr>
        <w:tc>
          <w:tcPr>
            <w:tcW w:type="dxa" w:w="1134"/>
            <w:shd w:val="clear" w:color="auto" w:fill="FFFFFF"/>
          </w:tcPr>
          <w:p>
            <w:pPr>
              <w:jc w:val="center"/>
            </w:pPr>
            <w:r>
              <w:rPr>
                <w:rFonts w:ascii="Calibri" w:hAnsi="Calibri"/>
                <w:sz w:val="19"/>
              </w:rPr>
              <w:t>2025</w:t>
            </w:r>
          </w:p>
        </w:tc>
        <w:tc>
          <w:tcPr>
            <w:tcW w:type="dxa" w:w="1134"/>
            <w:shd w:val="clear" w:color="auto" w:fill="FFFFFF"/>
          </w:tcPr>
          <w:p>
            <w:pPr>
              <w:jc w:val="center"/>
            </w:pPr>
            <w:r>
              <w:rPr>
                <w:rFonts w:ascii="Calibri" w:hAnsi="Calibri"/>
                <w:sz w:val="19"/>
              </w:rPr>
              <w:t>23.1 Mt</w:t>
            </w:r>
          </w:p>
        </w:tc>
        <w:tc>
          <w:tcPr>
            <w:tcW w:type="dxa" w:w="1134"/>
            <w:shd w:val="clear" w:color="auto" w:fill="FFFFFF"/>
          </w:tcPr>
          <w:p>
            <w:pPr>
              <w:jc w:val="center"/>
            </w:pPr>
            <w:r>
              <w:rPr>
                <w:rFonts w:ascii="Calibri" w:hAnsi="Calibri"/>
                <w:sz w:val="19"/>
              </w:rPr>
              <w:t>2.2 Mt</w:t>
            </w:r>
          </w:p>
        </w:tc>
        <w:tc>
          <w:tcPr>
            <w:tcW w:type="dxa" w:w="1134"/>
            <w:shd w:val="clear" w:color="auto" w:fill="FFFFFF"/>
          </w:tcPr>
          <w:p>
            <w:pPr>
              <w:jc w:val="center"/>
            </w:pPr>
            <w:r>
              <w:rPr>
                <w:rFonts w:ascii="Calibri" w:hAnsi="Calibri"/>
                <w:sz w:val="19"/>
              </w:rPr>
              <w:t>0.3 Mt</w:t>
            </w:r>
          </w:p>
        </w:tc>
        <w:tc>
          <w:tcPr>
            <w:tcW w:type="dxa" w:w="1134"/>
            <w:shd w:val="clear" w:color="auto" w:fill="FFFFFF"/>
          </w:tcPr>
          <w:p>
            <w:pPr>
              <w:jc w:val="center"/>
            </w:pPr>
            <w:r>
              <w:rPr>
                <w:rFonts w:ascii="Calibri" w:hAnsi="Calibri"/>
                <w:sz w:val="19"/>
              </w:rPr>
              <w:t>25.6 Mt</w:t>
            </w:r>
          </w:p>
        </w:tc>
        <w:tc>
          <w:tcPr>
            <w:tcW w:type="dxa" w:w="1134"/>
            <w:shd w:val="clear" w:color="auto" w:fill="FFFFFF"/>
          </w:tcPr>
          <w:p>
            <w:pPr>
              <w:jc w:val="center"/>
            </w:pPr>
            <w:r>
              <w:rPr>
                <w:rFonts w:ascii="Calibri" w:hAnsi="Calibri"/>
                <w:sz w:val="19"/>
              </w:rPr>
              <w:t>22.6 Mt</w:t>
            </w:r>
          </w:p>
        </w:tc>
        <w:tc>
          <w:tcPr>
            <w:tcW w:type="dxa" w:w="1134"/>
            <w:shd w:val="clear" w:color="auto" w:fill="FFFFFF"/>
          </w:tcPr>
          <w:p>
            <w:pPr>
              <w:jc w:val="center"/>
            </w:pPr>
            <w:r>
              <w:rPr>
                <w:rFonts w:ascii="Calibri" w:hAnsi="Calibri"/>
                <w:sz w:val="19"/>
              </w:rPr>
              <w:t>-3.0 Mt</w:t>
            </w:r>
          </w:p>
        </w:tc>
        <w:tc>
          <w:tcPr>
            <w:tcW w:type="dxa" w:w="1134"/>
            <w:shd w:val="clear" w:color="auto" w:fill="FFFFFF"/>
          </w:tcPr>
          <w:p>
            <w:pPr>
              <w:jc w:val="center"/>
            </w:pPr>
            <w:r>
              <w:rPr>
                <w:rFonts w:ascii="Calibri" w:hAnsi="Calibri"/>
                <w:sz w:val="19"/>
              </w:rPr>
              <w:t>-5.4 Mt</w:t>
            </w:r>
          </w:p>
        </w:tc>
      </w:tr>
      <w:tr>
        <w:tc>
          <w:tcPr>
            <w:tcW w:type="dxa" w:w="1134"/>
            <w:shd w:val="clear" w:color="auto" w:fill="F4F6F8"/>
          </w:tcPr>
          <w:p>
            <w:pPr>
              <w:jc w:val="center"/>
            </w:pPr>
            <w:r>
              <w:rPr>
                <w:rFonts w:ascii="Calibri" w:hAnsi="Calibri"/>
                <w:sz w:val="19"/>
              </w:rPr>
              <w:t>2026</w:t>
            </w:r>
          </w:p>
        </w:tc>
        <w:tc>
          <w:tcPr>
            <w:tcW w:type="dxa" w:w="1134"/>
            <w:shd w:val="clear" w:color="auto" w:fill="F4F6F8"/>
          </w:tcPr>
          <w:p>
            <w:pPr>
              <w:jc w:val="center"/>
            </w:pPr>
            <w:r>
              <w:rPr>
                <w:rFonts w:ascii="Calibri" w:hAnsi="Calibri"/>
                <w:sz w:val="19"/>
              </w:rPr>
              <w:t>23.4 Mt</w:t>
            </w:r>
          </w:p>
        </w:tc>
        <w:tc>
          <w:tcPr>
            <w:tcW w:type="dxa" w:w="1134"/>
            <w:shd w:val="clear" w:color="auto" w:fill="F4F6F8"/>
          </w:tcPr>
          <w:p>
            <w:pPr>
              <w:jc w:val="center"/>
            </w:pPr>
            <w:r>
              <w:rPr>
                <w:rFonts w:ascii="Calibri" w:hAnsi="Calibri"/>
                <w:sz w:val="19"/>
              </w:rPr>
              <w:t>2.8 Mt</w:t>
            </w:r>
          </w:p>
        </w:tc>
        <w:tc>
          <w:tcPr>
            <w:tcW w:type="dxa" w:w="1134"/>
            <w:shd w:val="clear" w:color="auto" w:fill="F4F6F8"/>
          </w:tcPr>
          <w:p>
            <w:pPr>
              <w:jc w:val="center"/>
            </w:pPr>
            <w:r>
              <w:rPr>
                <w:rFonts w:ascii="Calibri" w:hAnsi="Calibri"/>
                <w:sz w:val="19"/>
              </w:rPr>
              <w:t>0.4 Mt</w:t>
            </w:r>
          </w:p>
        </w:tc>
        <w:tc>
          <w:tcPr>
            <w:tcW w:type="dxa" w:w="1134"/>
            <w:shd w:val="clear" w:color="auto" w:fill="F4F6F8"/>
          </w:tcPr>
          <w:p>
            <w:pPr>
              <w:jc w:val="center"/>
            </w:pPr>
            <w:r>
              <w:rPr>
                <w:rFonts w:ascii="Calibri" w:hAnsi="Calibri"/>
                <w:sz w:val="19"/>
              </w:rPr>
              <w:t>26.6 Mt</w:t>
            </w:r>
          </w:p>
        </w:tc>
        <w:tc>
          <w:tcPr>
            <w:tcW w:type="dxa" w:w="1134"/>
            <w:shd w:val="clear" w:color="auto" w:fill="F4F6F8"/>
          </w:tcPr>
          <w:p>
            <w:pPr>
              <w:jc w:val="center"/>
            </w:pPr>
            <w:r>
              <w:rPr>
                <w:rFonts w:ascii="Calibri" w:hAnsi="Calibri"/>
                <w:sz w:val="19"/>
              </w:rPr>
              <w:t>22.8 Mt</w:t>
            </w:r>
          </w:p>
        </w:tc>
        <w:tc>
          <w:tcPr>
            <w:tcW w:type="dxa" w:w="1134"/>
            <w:shd w:val="clear" w:color="auto" w:fill="F4F6F8"/>
          </w:tcPr>
          <w:p>
            <w:pPr>
              <w:jc w:val="center"/>
            </w:pPr>
            <w:r>
              <w:rPr>
                <w:rFonts w:ascii="Calibri" w:hAnsi="Calibri"/>
                <w:sz w:val="19"/>
              </w:rPr>
              <w:t>-3.8 Mt</w:t>
            </w:r>
          </w:p>
        </w:tc>
        <w:tc>
          <w:tcPr>
            <w:tcW w:type="dxa" w:w="1134"/>
            <w:shd w:val="clear" w:color="auto" w:fill="F4F6F8"/>
          </w:tcPr>
          <w:p>
            <w:pPr>
              <w:jc w:val="center"/>
            </w:pPr>
            <w:r>
              <w:rPr>
                <w:rFonts w:ascii="Calibri" w:hAnsi="Calibri"/>
                <w:sz w:val="19"/>
              </w:rPr>
              <w:t>-9.2 Mt</w:t>
            </w:r>
          </w:p>
        </w:tc>
      </w:tr>
      <w:tr>
        <w:tc>
          <w:tcPr>
            <w:tcW w:type="dxa" w:w="1134"/>
            <w:shd w:val="clear" w:color="auto" w:fill="FFFFFF"/>
          </w:tcPr>
          <w:p>
            <w:pPr>
              <w:jc w:val="center"/>
            </w:pPr>
            <w:r>
              <w:rPr>
                <w:rFonts w:ascii="Calibri" w:hAnsi="Calibri"/>
                <w:sz w:val="19"/>
              </w:rPr>
              <w:t>2027</w:t>
            </w:r>
          </w:p>
        </w:tc>
        <w:tc>
          <w:tcPr>
            <w:tcW w:type="dxa" w:w="1134"/>
            <w:shd w:val="clear" w:color="auto" w:fill="FFFFFF"/>
          </w:tcPr>
          <w:p>
            <w:pPr>
              <w:jc w:val="center"/>
            </w:pPr>
            <w:r>
              <w:rPr>
                <w:rFonts w:ascii="Calibri" w:hAnsi="Calibri"/>
                <w:sz w:val="19"/>
              </w:rPr>
              <w:t>23.7 Mt</w:t>
            </w:r>
          </w:p>
        </w:tc>
        <w:tc>
          <w:tcPr>
            <w:tcW w:type="dxa" w:w="1134"/>
            <w:shd w:val="clear" w:color="auto" w:fill="FFFFFF"/>
          </w:tcPr>
          <w:p>
            <w:pPr>
              <w:jc w:val="center"/>
            </w:pPr>
            <w:r>
              <w:rPr>
                <w:rFonts w:ascii="Calibri" w:hAnsi="Calibri"/>
                <w:sz w:val="19"/>
              </w:rPr>
              <w:t>3.4 Mt</w:t>
            </w:r>
          </w:p>
        </w:tc>
        <w:tc>
          <w:tcPr>
            <w:tcW w:type="dxa" w:w="1134"/>
            <w:shd w:val="clear" w:color="auto" w:fill="FFFFFF"/>
          </w:tcPr>
          <w:p>
            <w:pPr>
              <w:jc w:val="center"/>
            </w:pPr>
            <w:r>
              <w:rPr>
                <w:rFonts w:ascii="Calibri" w:hAnsi="Calibri"/>
                <w:sz w:val="19"/>
              </w:rPr>
              <w:t>0.5 Mt</w:t>
            </w:r>
          </w:p>
        </w:tc>
        <w:tc>
          <w:tcPr>
            <w:tcW w:type="dxa" w:w="1134"/>
            <w:shd w:val="clear" w:color="auto" w:fill="FFFFFF"/>
          </w:tcPr>
          <w:p>
            <w:pPr>
              <w:jc w:val="center"/>
            </w:pPr>
            <w:r>
              <w:rPr>
                <w:rFonts w:ascii="Calibri" w:hAnsi="Calibri"/>
                <w:sz w:val="19"/>
              </w:rPr>
              <w:t>27.6 Mt</w:t>
            </w:r>
          </w:p>
        </w:tc>
        <w:tc>
          <w:tcPr>
            <w:tcW w:type="dxa" w:w="1134"/>
            <w:shd w:val="clear" w:color="auto" w:fill="FFFFFF"/>
          </w:tcPr>
          <w:p>
            <w:pPr>
              <w:jc w:val="center"/>
            </w:pPr>
            <w:r>
              <w:rPr>
                <w:rFonts w:ascii="Calibri" w:hAnsi="Calibri"/>
                <w:sz w:val="19"/>
              </w:rPr>
              <w:t>22.9 Mt</w:t>
            </w:r>
          </w:p>
        </w:tc>
        <w:tc>
          <w:tcPr>
            <w:tcW w:type="dxa" w:w="1134"/>
            <w:shd w:val="clear" w:color="auto" w:fill="FFFFFF"/>
          </w:tcPr>
          <w:p>
            <w:pPr>
              <w:jc w:val="center"/>
            </w:pPr>
            <w:r>
              <w:rPr>
                <w:rFonts w:ascii="Calibri" w:hAnsi="Calibri"/>
                <w:sz w:val="19"/>
              </w:rPr>
              <w:t>-4.7 Mt</w:t>
            </w:r>
          </w:p>
        </w:tc>
        <w:tc>
          <w:tcPr>
            <w:tcW w:type="dxa" w:w="1134"/>
            <w:shd w:val="clear" w:color="auto" w:fill="FFFFFF"/>
          </w:tcPr>
          <w:p>
            <w:pPr>
              <w:jc w:val="center"/>
            </w:pPr>
            <w:r>
              <w:rPr>
                <w:rFonts w:ascii="Calibri" w:hAnsi="Calibri"/>
                <w:sz w:val="19"/>
              </w:rPr>
              <w:t>-13.9 Mt</w:t>
            </w:r>
          </w:p>
        </w:tc>
      </w:tr>
      <w:tr>
        <w:tc>
          <w:tcPr>
            <w:tcW w:type="dxa" w:w="1134"/>
            <w:shd w:val="clear" w:color="auto" w:fill="F4F6F8"/>
          </w:tcPr>
          <w:p>
            <w:pPr>
              <w:jc w:val="center"/>
            </w:pPr>
            <w:r>
              <w:rPr>
                <w:rFonts w:ascii="Calibri" w:hAnsi="Calibri"/>
                <w:sz w:val="19"/>
              </w:rPr>
              <w:t>2028</w:t>
            </w:r>
          </w:p>
        </w:tc>
        <w:tc>
          <w:tcPr>
            <w:tcW w:type="dxa" w:w="1134"/>
            <w:shd w:val="clear" w:color="auto" w:fill="F4F6F8"/>
          </w:tcPr>
          <w:p>
            <w:pPr>
              <w:jc w:val="center"/>
            </w:pPr>
            <w:r>
              <w:rPr>
                <w:rFonts w:ascii="Calibri" w:hAnsi="Calibri"/>
                <w:sz w:val="19"/>
              </w:rPr>
              <w:t>24.0 Mt</w:t>
            </w:r>
          </w:p>
        </w:tc>
        <w:tc>
          <w:tcPr>
            <w:tcW w:type="dxa" w:w="1134"/>
            <w:shd w:val="clear" w:color="auto" w:fill="F4F6F8"/>
          </w:tcPr>
          <w:p>
            <w:pPr>
              <w:jc w:val="center"/>
            </w:pPr>
            <w:r>
              <w:rPr>
                <w:rFonts w:ascii="Calibri" w:hAnsi="Calibri"/>
                <w:sz w:val="19"/>
              </w:rPr>
              <w:t>3.9 Mt</w:t>
            </w:r>
          </w:p>
        </w:tc>
        <w:tc>
          <w:tcPr>
            <w:tcW w:type="dxa" w:w="1134"/>
            <w:shd w:val="clear" w:color="auto" w:fill="F4F6F8"/>
          </w:tcPr>
          <w:p>
            <w:pPr>
              <w:jc w:val="center"/>
            </w:pPr>
            <w:r>
              <w:rPr>
                <w:rFonts w:ascii="Calibri" w:hAnsi="Calibri"/>
                <w:sz w:val="19"/>
              </w:rPr>
              <w:t>0.6 Mt</w:t>
            </w:r>
          </w:p>
        </w:tc>
        <w:tc>
          <w:tcPr>
            <w:tcW w:type="dxa" w:w="1134"/>
            <w:shd w:val="clear" w:color="auto" w:fill="F4F6F8"/>
          </w:tcPr>
          <w:p>
            <w:pPr>
              <w:jc w:val="center"/>
            </w:pPr>
            <w:r>
              <w:rPr>
                <w:rFonts w:ascii="Calibri" w:hAnsi="Calibri"/>
                <w:sz w:val="19"/>
              </w:rPr>
              <w:t>28.5 Mt</w:t>
            </w:r>
          </w:p>
        </w:tc>
        <w:tc>
          <w:tcPr>
            <w:tcW w:type="dxa" w:w="1134"/>
            <w:shd w:val="clear" w:color="auto" w:fill="F4F6F8"/>
          </w:tcPr>
          <w:p>
            <w:pPr>
              <w:jc w:val="center"/>
            </w:pPr>
            <w:r>
              <w:rPr>
                <w:rFonts w:ascii="Calibri" w:hAnsi="Calibri"/>
                <w:sz w:val="19"/>
              </w:rPr>
              <w:t>22.9 Mt</w:t>
            </w:r>
          </w:p>
        </w:tc>
        <w:tc>
          <w:tcPr>
            <w:tcW w:type="dxa" w:w="1134"/>
            <w:shd w:val="clear" w:color="auto" w:fill="F4F6F8"/>
          </w:tcPr>
          <w:p>
            <w:pPr>
              <w:jc w:val="center"/>
            </w:pPr>
            <w:r>
              <w:rPr>
                <w:rFonts w:ascii="Calibri" w:hAnsi="Calibri"/>
                <w:sz w:val="19"/>
              </w:rPr>
              <w:t>-5.6 Mt</w:t>
            </w:r>
          </w:p>
        </w:tc>
        <w:tc>
          <w:tcPr>
            <w:tcW w:type="dxa" w:w="1134"/>
            <w:shd w:val="clear" w:color="auto" w:fill="F4F6F8"/>
          </w:tcPr>
          <w:p>
            <w:pPr>
              <w:jc w:val="center"/>
            </w:pPr>
            <w:r>
              <w:rPr>
                <w:rFonts w:ascii="Calibri" w:hAnsi="Calibri"/>
                <w:sz w:val="19"/>
              </w:rPr>
              <w:t>-19.5 Mt</w:t>
            </w:r>
          </w:p>
        </w:tc>
      </w:tr>
      <w:tr>
        <w:tc>
          <w:tcPr>
            <w:tcW w:type="dxa" w:w="1134"/>
            <w:shd w:val="clear" w:color="auto" w:fill="FFFFFF"/>
          </w:tcPr>
          <w:p>
            <w:pPr>
              <w:jc w:val="center"/>
            </w:pPr>
            <w:r>
              <w:rPr>
                <w:rFonts w:ascii="Calibri" w:hAnsi="Calibri"/>
                <w:sz w:val="19"/>
              </w:rPr>
              <w:t>2029</w:t>
            </w:r>
          </w:p>
        </w:tc>
        <w:tc>
          <w:tcPr>
            <w:tcW w:type="dxa" w:w="1134"/>
            <w:shd w:val="clear" w:color="auto" w:fill="FFFFFF"/>
          </w:tcPr>
          <w:p>
            <w:pPr>
              <w:jc w:val="center"/>
            </w:pPr>
            <w:r>
              <w:rPr>
                <w:rFonts w:ascii="Calibri" w:hAnsi="Calibri"/>
                <w:sz w:val="19"/>
              </w:rPr>
              <w:t>24.3 Mt</w:t>
            </w:r>
          </w:p>
        </w:tc>
        <w:tc>
          <w:tcPr>
            <w:tcW w:type="dxa" w:w="1134"/>
            <w:shd w:val="clear" w:color="auto" w:fill="FFFFFF"/>
          </w:tcPr>
          <w:p>
            <w:pPr>
              <w:jc w:val="center"/>
            </w:pPr>
            <w:r>
              <w:rPr>
                <w:rFonts w:ascii="Calibri" w:hAnsi="Calibri"/>
                <w:sz w:val="19"/>
              </w:rPr>
              <w:t>4.2 Mt</w:t>
            </w:r>
          </w:p>
        </w:tc>
        <w:tc>
          <w:tcPr>
            <w:tcW w:type="dxa" w:w="1134"/>
            <w:shd w:val="clear" w:color="auto" w:fill="FFFFFF"/>
          </w:tcPr>
          <w:p>
            <w:pPr>
              <w:jc w:val="center"/>
            </w:pPr>
            <w:r>
              <w:rPr>
                <w:rFonts w:ascii="Calibri" w:hAnsi="Calibri"/>
                <w:sz w:val="19"/>
              </w:rPr>
              <w:t>0.7 Mt</w:t>
            </w:r>
          </w:p>
        </w:tc>
        <w:tc>
          <w:tcPr>
            <w:tcW w:type="dxa" w:w="1134"/>
            <w:shd w:val="clear" w:color="auto" w:fill="FFFFFF"/>
          </w:tcPr>
          <w:p>
            <w:pPr>
              <w:jc w:val="center"/>
            </w:pPr>
            <w:r>
              <w:rPr>
                <w:rFonts w:ascii="Calibri" w:hAnsi="Calibri"/>
                <w:sz w:val="19"/>
              </w:rPr>
              <w:t>29.2 Mt</w:t>
            </w:r>
          </w:p>
        </w:tc>
        <w:tc>
          <w:tcPr>
            <w:tcW w:type="dxa" w:w="1134"/>
            <w:shd w:val="clear" w:color="auto" w:fill="FFFFFF"/>
          </w:tcPr>
          <w:p>
            <w:pPr>
              <w:jc w:val="center"/>
            </w:pPr>
            <w:r>
              <w:rPr>
                <w:rFonts w:ascii="Calibri" w:hAnsi="Calibri"/>
                <w:sz w:val="19"/>
              </w:rPr>
              <w:t>22.8 Mt</w:t>
            </w:r>
          </w:p>
        </w:tc>
        <w:tc>
          <w:tcPr>
            <w:tcW w:type="dxa" w:w="1134"/>
            <w:shd w:val="clear" w:color="auto" w:fill="FFFFFF"/>
          </w:tcPr>
          <w:p>
            <w:pPr>
              <w:jc w:val="center"/>
            </w:pPr>
            <w:r>
              <w:rPr>
                <w:rFonts w:ascii="Calibri" w:hAnsi="Calibri"/>
                <w:sz w:val="19"/>
              </w:rPr>
              <w:t>-6.4 Mt</w:t>
            </w:r>
          </w:p>
        </w:tc>
        <w:tc>
          <w:tcPr>
            <w:tcW w:type="dxa" w:w="1134"/>
            <w:shd w:val="clear" w:color="auto" w:fill="FFFFFF"/>
          </w:tcPr>
          <w:p>
            <w:pPr>
              <w:jc w:val="center"/>
            </w:pPr>
            <w:r>
              <w:rPr>
                <w:rFonts w:ascii="Calibri" w:hAnsi="Calibri"/>
                <w:sz w:val="19"/>
              </w:rPr>
              <w:t>-25.9 Mt</w:t>
            </w:r>
          </w:p>
        </w:tc>
      </w:tr>
      <w:tr>
        <w:tc>
          <w:tcPr>
            <w:tcW w:type="dxa" w:w="1134"/>
            <w:shd w:val="clear" w:color="auto" w:fill="F4F6F8"/>
          </w:tcPr>
          <w:p>
            <w:pPr>
              <w:jc w:val="center"/>
            </w:pPr>
            <w:r>
              <w:rPr>
                <w:rFonts w:ascii="Calibri" w:hAnsi="Calibri"/>
                <w:sz w:val="19"/>
              </w:rPr>
              <w:t>2030</w:t>
            </w:r>
          </w:p>
        </w:tc>
        <w:tc>
          <w:tcPr>
            <w:tcW w:type="dxa" w:w="1134"/>
            <w:shd w:val="clear" w:color="auto" w:fill="F4F6F8"/>
          </w:tcPr>
          <w:p>
            <w:pPr>
              <w:jc w:val="center"/>
            </w:pPr>
            <w:r>
              <w:rPr>
                <w:rFonts w:ascii="Calibri" w:hAnsi="Calibri"/>
                <w:sz w:val="19"/>
              </w:rPr>
              <w:t>24.6 Mt</w:t>
            </w:r>
          </w:p>
        </w:tc>
        <w:tc>
          <w:tcPr>
            <w:tcW w:type="dxa" w:w="1134"/>
            <w:shd w:val="clear" w:color="auto" w:fill="F4F6F8"/>
          </w:tcPr>
          <w:p>
            <w:pPr>
              <w:jc w:val="center"/>
            </w:pPr>
            <w:r>
              <w:rPr>
                <w:rFonts w:ascii="Calibri" w:hAnsi="Calibri"/>
                <w:sz w:val="19"/>
              </w:rPr>
              <w:t>4.5 Mt</w:t>
            </w:r>
          </w:p>
        </w:tc>
        <w:tc>
          <w:tcPr>
            <w:tcW w:type="dxa" w:w="1134"/>
            <w:shd w:val="clear" w:color="auto" w:fill="F4F6F8"/>
          </w:tcPr>
          <w:p>
            <w:pPr>
              <w:jc w:val="center"/>
            </w:pPr>
            <w:r>
              <w:rPr>
                <w:rFonts w:ascii="Calibri" w:hAnsi="Calibri"/>
                <w:sz w:val="19"/>
              </w:rPr>
              <w:t>0.8 Mt</w:t>
            </w:r>
          </w:p>
        </w:tc>
        <w:tc>
          <w:tcPr>
            <w:tcW w:type="dxa" w:w="1134"/>
            <w:shd w:val="clear" w:color="auto" w:fill="F4F6F8"/>
          </w:tcPr>
          <w:p>
            <w:pPr>
              <w:jc w:val="center"/>
            </w:pPr>
            <w:r>
              <w:rPr>
                <w:rFonts w:ascii="Calibri" w:hAnsi="Calibri"/>
                <w:sz w:val="19"/>
              </w:rPr>
              <w:t>29.9 Mt</w:t>
            </w:r>
          </w:p>
        </w:tc>
        <w:tc>
          <w:tcPr>
            <w:tcW w:type="dxa" w:w="1134"/>
            <w:shd w:val="clear" w:color="auto" w:fill="F4F6F8"/>
          </w:tcPr>
          <w:p>
            <w:pPr>
              <w:jc w:val="center"/>
            </w:pPr>
            <w:r>
              <w:rPr>
                <w:rFonts w:ascii="Calibri" w:hAnsi="Calibri"/>
                <w:sz w:val="19"/>
              </w:rPr>
              <w:t>22.7 Mt</w:t>
            </w:r>
          </w:p>
        </w:tc>
        <w:tc>
          <w:tcPr>
            <w:tcW w:type="dxa" w:w="1134"/>
            <w:shd w:val="clear" w:color="auto" w:fill="F4F6F8"/>
          </w:tcPr>
          <w:p>
            <w:pPr>
              <w:jc w:val="center"/>
            </w:pPr>
            <w:r>
              <w:rPr>
                <w:rFonts w:ascii="Calibri" w:hAnsi="Calibri"/>
                <w:sz w:val="19"/>
              </w:rPr>
              <w:t>-7.2 Mt</w:t>
            </w:r>
          </w:p>
        </w:tc>
        <w:tc>
          <w:tcPr>
            <w:tcW w:type="dxa" w:w="1134"/>
            <w:shd w:val="clear" w:color="auto" w:fill="F4F6F8"/>
          </w:tcPr>
          <w:p>
            <w:pPr>
              <w:jc w:val="center"/>
            </w:pPr>
            <w:r>
              <w:rPr>
                <w:rFonts w:ascii="Calibri" w:hAnsi="Calibri"/>
                <w:sz w:val="19"/>
              </w:rPr>
              <w:t>-33.1 Mt</w:t>
            </w:r>
          </w:p>
        </w:tc>
      </w:tr>
    </w:tbl>
    <w:p/>
    <w:p>
      <w:pPr>
        <w:spacing w:before="0" w:after="80"/>
      </w:pPr>
      <w:r>
        <w:rPr>
          <w:rFonts w:ascii="Calibri" w:hAnsi="Calibri"/>
          <w:i w:val="0"/>
          <w:sz w:val="20"/>
        </w:rPr>
        <w:t>Even if ALL probable projects deliver on schedule (best case), the cumulative deficit reaches 24.0 Mt by 2030. Base case (no probable projects): 33.1 Mt. Average mine-to-production lead time: 16 years. Supply response to current prices is structurally constrained.</w:t>
      </w:r>
    </w:p>
    <w:p>
      <w:pPr>
        <w:spacing w:before="120" w:after="40"/>
      </w:pPr>
      <w:r>
        <w:rPr>
          <w:rFonts w:ascii="Calibri" w:hAnsi="Calibri"/>
          <w:b/>
          <w:color w:val="1B4F72"/>
          <w:sz w:val="22"/>
        </w:rPr>
        <w:t>2. Mine Pipeline: Committed and Probable Projects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D1B2A"/>
          </w:tcPr>
          <w:p>
            <w:pPr>
              <w:jc w:val="center"/>
            </w:pPr>
            <w:r>
              <w:rPr>
                <w:rFonts w:ascii="Calibri" w:hAnsi="Calibri"/>
                <w:b/>
                <w:color w:val="FFFFFF"/>
                <w:sz w:val="19"/>
              </w:rPr>
              <w:t>Project</w:t>
            </w:r>
          </w:p>
        </w:tc>
        <w:tc>
          <w:tcPr>
            <w:tcW w:type="dxa" w:w="1296"/>
            <w:shd w:val="clear" w:color="auto" w:fill="0D1B2A"/>
          </w:tcPr>
          <w:p>
            <w:pPr>
              <w:jc w:val="center"/>
            </w:pPr>
            <w:r>
              <w:rPr>
                <w:rFonts w:ascii="Calibri" w:hAnsi="Calibri"/>
                <w:b/>
                <w:color w:val="FFFFFF"/>
                <w:sz w:val="19"/>
              </w:rPr>
              <w:t>Owner</w:t>
            </w:r>
          </w:p>
        </w:tc>
        <w:tc>
          <w:tcPr>
            <w:tcW w:type="dxa" w:w="1296"/>
            <w:shd w:val="clear" w:color="auto" w:fill="0D1B2A"/>
          </w:tcPr>
          <w:p>
            <w:pPr>
              <w:jc w:val="center"/>
            </w:pPr>
            <w:r>
              <w:rPr>
                <w:rFonts w:ascii="Calibri" w:hAnsi="Calibri"/>
                <w:b/>
                <w:color w:val="FFFFFF"/>
                <w:sz w:val="19"/>
              </w:rPr>
              <w:t>Country</w:t>
            </w:r>
          </w:p>
        </w:tc>
        <w:tc>
          <w:tcPr>
            <w:tcW w:type="dxa" w:w="1296"/>
            <w:shd w:val="clear" w:color="auto" w:fill="0D1B2A"/>
          </w:tcPr>
          <w:p>
            <w:pPr>
              <w:jc w:val="center"/>
            </w:pPr>
            <w:r>
              <w:rPr>
                <w:rFonts w:ascii="Calibri" w:hAnsi="Calibri"/>
                <w:b/>
                <w:color w:val="FFFFFF"/>
                <w:sz w:val="19"/>
              </w:rPr>
              <w:t>Status</w:t>
            </w:r>
          </w:p>
        </w:tc>
        <w:tc>
          <w:tcPr>
            <w:tcW w:type="dxa" w:w="1296"/>
            <w:shd w:val="clear" w:color="auto" w:fill="0D1B2A"/>
          </w:tcPr>
          <w:p>
            <w:pPr>
              <w:jc w:val="center"/>
            </w:pPr>
            <w:r>
              <w:rPr>
                <w:rFonts w:ascii="Calibri" w:hAnsi="Calibri"/>
                <w:b/>
                <w:color w:val="FFFFFF"/>
                <w:sz w:val="19"/>
              </w:rPr>
              <w:t>Output (ktpa)</w:t>
            </w:r>
          </w:p>
        </w:tc>
        <w:tc>
          <w:tcPr>
            <w:tcW w:type="dxa" w:w="1296"/>
            <w:shd w:val="clear" w:color="auto" w:fill="0D1B2A"/>
          </w:tcPr>
          <w:p>
            <w:pPr>
              <w:jc w:val="center"/>
            </w:pPr>
            <w:r>
              <w:rPr>
                <w:rFonts w:ascii="Calibri" w:hAnsi="Calibri"/>
                <w:b/>
                <w:color w:val="FFFFFF"/>
                <w:sz w:val="19"/>
              </w:rPr>
              <w:t>First Production</w:t>
            </w:r>
          </w:p>
        </w:tc>
        <w:tc>
          <w:tcPr>
            <w:tcW w:type="dxa" w:w="1296"/>
            <w:shd w:val="clear" w:color="auto" w:fill="0D1B2A"/>
          </w:tcPr>
          <w:p>
            <w:pPr>
              <w:jc w:val="center"/>
            </w:pPr>
            <w:r>
              <w:rPr>
                <w:rFonts w:ascii="Calibri" w:hAnsi="Calibri"/>
                <w:b/>
                <w:color w:val="FFFFFF"/>
                <w:sz w:val="19"/>
              </w:rPr>
              <w:t>Risk</w:t>
            </w:r>
          </w:p>
        </w:tc>
      </w:tr>
      <w:tr>
        <w:tc>
          <w:tcPr>
            <w:tcW w:type="dxa" w:w="1296"/>
            <w:shd w:val="clear" w:color="auto" w:fill="F4F6F8"/>
          </w:tcPr>
          <w:p>
            <w:pPr>
              <w:jc w:val="center"/>
            </w:pPr>
            <w:r>
              <w:rPr>
                <w:rFonts w:ascii="Calibri" w:hAnsi="Calibri"/>
                <w:sz w:val="19"/>
              </w:rPr>
              <w:t>Quellaveco</w:t>
            </w:r>
          </w:p>
        </w:tc>
        <w:tc>
          <w:tcPr>
            <w:tcW w:type="dxa" w:w="1296"/>
            <w:shd w:val="clear" w:color="auto" w:fill="F4F6F8"/>
          </w:tcPr>
          <w:p>
            <w:pPr>
              <w:jc w:val="center"/>
            </w:pPr>
            <w:r>
              <w:rPr>
                <w:rFonts w:ascii="Calibri" w:hAnsi="Calibri"/>
                <w:sz w:val="19"/>
              </w:rPr>
              <w:t>Anglo/Mitsubishi</w:t>
            </w:r>
          </w:p>
        </w:tc>
        <w:tc>
          <w:tcPr>
            <w:tcW w:type="dxa" w:w="1296"/>
            <w:shd w:val="clear" w:color="auto" w:fill="F4F6F8"/>
          </w:tcPr>
          <w:p>
            <w:pPr>
              <w:jc w:val="center"/>
            </w:pPr>
            <w:r>
              <w:rPr>
                <w:rFonts w:ascii="Calibri" w:hAnsi="Calibri"/>
                <w:sz w:val="19"/>
              </w:rPr>
              <w:t>Peru</w:t>
            </w:r>
          </w:p>
        </w:tc>
        <w:tc>
          <w:tcPr>
            <w:tcW w:type="dxa" w:w="1296"/>
            <w:shd w:val="clear" w:color="auto" w:fill="F4F6F8"/>
          </w:tcPr>
          <w:p>
            <w:pPr>
              <w:jc w:val="center"/>
            </w:pPr>
            <w:r>
              <w:rPr>
                <w:rFonts w:ascii="Calibri" w:hAnsi="Calibri"/>
                <w:sz w:val="19"/>
              </w:rPr>
              <w:t>Committed — producing</w:t>
            </w:r>
          </w:p>
        </w:tc>
        <w:tc>
          <w:tcPr>
            <w:tcW w:type="dxa" w:w="1296"/>
            <w:shd w:val="clear" w:color="auto" w:fill="F4F6F8"/>
          </w:tcPr>
          <w:p>
            <w:pPr>
              <w:jc w:val="center"/>
            </w:pPr>
            <w:r>
              <w:rPr>
                <w:rFonts w:ascii="Calibri" w:hAnsi="Calibri"/>
                <w:sz w:val="19"/>
              </w:rPr>
              <w:t>300</w:t>
            </w:r>
          </w:p>
        </w:tc>
        <w:tc>
          <w:tcPr>
            <w:tcW w:type="dxa" w:w="1296"/>
            <w:shd w:val="clear" w:color="auto" w:fill="F4F6F8"/>
          </w:tcPr>
          <w:p>
            <w:pPr>
              <w:jc w:val="center"/>
            </w:pPr>
            <w:r>
              <w:rPr>
                <w:rFonts w:ascii="Calibri" w:hAnsi="Calibri"/>
                <w:sz w:val="19"/>
              </w:rPr>
              <w:t>2022 (online)</w:t>
            </w:r>
          </w:p>
        </w:tc>
        <w:tc>
          <w:tcPr>
            <w:tcW w:type="dxa" w:w="1296"/>
            <w:shd w:val="clear" w:color="auto" w:fill="F4F6F8"/>
          </w:tcPr>
          <w:p>
            <w:pPr>
              <w:jc w:val="center"/>
            </w:pPr>
            <w:r>
              <w:rPr>
                <w:rFonts w:ascii="Calibri" w:hAnsi="Calibri"/>
                <w:sz w:val="19"/>
              </w:rPr>
              <w:t>Low</w:t>
            </w:r>
          </w:p>
        </w:tc>
      </w:tr>
      <w:tr>
        <w:tc>
          <w:tcPr>
            <w:tcW w:type="dxa" w:w="1296"/>
            <w:shd w:val="clear" w:color="auto" w:fill="FFFFFF"/>
          </w:tcPr>
          <w:p>
            <w:pPr>
              <w:jc w:val="center"/>
            </w:pPr>
            <w:r>
              <w:rPr>
                <w:rFonts w:ascii="Calibri" w:hAnsi="Calibri"/>
                <w:sz w:val="19"/>
              </w:rPr>
              <w:t>Kamoa-Kakula 3</w:t>
            </w:r>
          </w:p>
        </w:tc>
        <w:tc>
          <w:tcPr>
            <w:tcW w:type="dxa" w:w="1296"/>
            <w:shd w:val="clear" w:color="auto" w:fill="FFFFFF"/>
          </w:tcPr>
          <w:p>
            <w:pPr>
              <w:jc w:val="center"/>
            </w:pPr>
            <w:r>
              <w:rPr>
                <w:rFonts w:ascii="Calibri" w:hAnsi="Calibri"/>
                <w:sz w:val="19"/>
              </w:rPr>
              <w:t>Ivanhoe</w:t>
            </w:r>
          </w:p>
        </w:tc>
        <w:tc>
          <w:tcPr>
            <w:tcW w:type="dxa" w:w="1296"/>
            <w:shd w:val="clear" w:color="auto" w:fill="FFFFFF"/>
          </w:tcPr>
          <w:p>
            <w:pPr>
              <w:jc w:val="center"/>
            </w:pPr>
            <w:r>
              <w:rPr>
                <w:rFonts w:ascii="Calibri" w:hAnsi="Calibri"/>
                <w:sz w:val="19"/>
              </w:rPr>
              <w:t>DRC</w:t>
            </w:r>
          </w:p>
        </w:tc>
        <w:tc>
          <w:tcPr>
            <w:tcW w:type="dxa" w:w="1296"/>
            <w:shd w:val="clear" w:color="auto" w:fill="FFFFFF"/>
          </w:tcPr>
          <w:p>
            <w:pPr>
              <w:jc w:val="center"/>
            </w:pPr>
            <w:r>
              <w:rPr>
                <w:rFonts w:ascii="Calibri" w:hAnsi="Calibri"/>
                <w:sz w:val="19"/>
              </w:rPr>
              <w:t>Committed — construction</w:t>
            </w:r>
          </w:p>
        </w:tc>
        <w:tc>
          <w:tcPr>
            <w:tcW w:type="dxa" w:w="1296"/>
            <w:shd w:val="clear" w:color="auto" w:fill="FFFFFF"/>
          </w:tcPr>
          <w:p>
            <w:pPr>
              <w:jc w:val="center"/>
            </w:pPr>
            <w:r>
              <w:rPr>
                <w:rFonts w:ascii="Calibri" w:hAnsi="Calibri"/>
                <w:sz w:val="19"/>
              </w:rPr>
              <w:t>250</w:t>
            </w:r>
          </w:p>
        </w:tc>
        <w:tc>
          <w:tcPr>
            <w:tcW w:type="dxa" w:w="1296"/>
            <w:shd w:val="clear" w:color="auto" w:fill="FFFFFF"/>
          </w:tcPr>
          <w:p>
            <w:pPr>
              <w:jc w:val="center"/>
            </w:pPr>
            <w:r>
              <w:rPr>
                <w:rFonts w:ascii="Calibri" w:hAnsi="Calibri"/>
                <w:sz w:val="19"/>
              </w:rPr>
              <w:t>2025-26</w:t>
            </w:r>
          </w:p>
        </w:tc>
        <w:tc>
          <w:tcPr>
            <w:tcW w:type="dxa" w:w="1296"/>
            <w:shd w:val="clear" w:color="auto" w:fill="FFFFFF"/>
          </w:tcPr>
          <w:p>
            <w:pPr>
              <w:jc w:val="center"/>
            </w:pPr>
            <w:r>
              <w:rPr>
                <w:rFonts w:ascii="Calibri" w:hAnsi="Calibri"/>
                <w:sz w:val="19"/>
              </w:rPr>
              <w:t>Medium</w:t>
            </w:r>
          </w:p>
        </w:tc>
      </w:tr>
      <w:tr>
        <w:tc>
          <w:tcPr>
            <w:tcW w:type="dxa" w:w="1296"/>
            <w:shd w:val="clear" w:color="auto" w:fill="F4F6F8"/>
          </w:tcPr>
          <w:p>
            <w:pPr>
              <w:jc w:val="center"/>
            </w:pPr>
            <w:r>
              <w:rPr>
                <w:rFonts w:ascii="Calibri" w:hAnsi="Calibri"/>
                <w:sz w:val="19"/>
              </w:rPr>
              <w:t>QB2</w:t>
            </w:r>
          </w:p>
        </w:tc>
        <w:tc>
          <w:tcPr>
            <w:tcW w:type="dxa" w:w="1296"/>
            <w:shd w:val="clear" w:color="auto" w:fill="F4F6F8"/>
          </w:tcPr>
          <w:p>
            <w:pPr>
              <w:jc w:val="center"/>
            </w:pPr>
            <w:r>
              <w:rPr>
                <w:rFonts w:ascii="Calibri" w:hAnsi="Calibri"/>
                <w:sz w:val="19"/>
              </w:rPr>
              <w:t>Teck/Sumitomo</w:t>
            </w:r>
          </w:p>
        </w:tc>
        <w:tc>
          <w:tcPr>
            <w:tcW w:type="dxa" w:w="1296"/>
            <w:shd w:val="clear" w:color="auto" w:fill="F4F6F8"/>
          </w:tcPr>
          <w:p>
            <w:pPr>
              <w:jc w:val="center"/>
            </w:pPr>
            <w:r>
              <w:rPr>
                <w:rFonts w:ascii="Calibri" w:hAnsi="Calibri"/>
                <w:sz w:val="19"/>
              </w:rPr>
              <w:t>Chile</w:t>
            </w:r>
          </w:p>
        </w:tc>
        <w:tc>
          <w:tcPr>
            <w:tcW w:type="dxa" w:w="1296"/>
            <w:shd w:val="clear" w:color="auto" w:fill="F4F6F8"/>
          </w:tcPr>
          <w:p>
            <w:pPr>
              <w:jc w:val="center"/>
            </w:pPr>
            <w:r>
              <w:rPr>
                <w:rFonts w:ascii="Calibri" w:hAnsi="Calibri"/>
                <w:sz w:val="19"/>
              </w:rPr>
              <w:t>Committed — ramp-up</w:t>
            </w:r>
          </w:p>
        </w:tc>
        <w:tc>
          <w:tcPr>
            <w:tcW w:type="dxa" w:w="1296"/>
            <w:shd w:val="clear" w:color="auto" w:fill="F4F6F8"/>
          </w:tcPr>
          <w:p>
            <w:pPr>
              <w:jc w:val="center"/>
            </w:pPr>
            <w:r>
              <w:rPr>
                <w:rFonts w:ascii="Calibri" w:hAnsi="Calibri"/>
                <w:sz w:val="19"/>
              </w:rPr>
              <w:t>300</w:t>
            </w:r>
          </w:p>
        </w:tc>
        <w:tc>
          <w:tcPr>
            <w:tcW w:type="dxa" w:w="1296"/>
            <w:shd w:val="clear" w:color="auto" w:fill="F4F6F8"/>
          </w:tcPr>
          <w:p>
            <w:pPr>
              <w:jc w:val="center"/>
            </w:pPr>
            <w:r>
              <w:rPr>
                <w:rFonts w:ascii="Calibri" w:hAnsi="Calibri"/>
                <w:sz w:val="19"/>
              </w:rPr>
              <w:t>2023 (ramp)</w:t>
            </w:r>
          </w:p>
        </w:tc>
        <w:tc>
          <w:tcPr>
            <w:tcW w:type="dxa" w:w="1296"/>
            <w:shd w:val="clear" w:color="auto" w:fill="F4F6F8"/>
          </w:tcPr>
          <w:p>
            <w:pPr>
              <w:jc w:val="center"/>
            </w:pPr>
            <w:r>
              <w:rPr>
                <w:rFonts w:ascii="Calibri" w:hAnsi="Calibri"/>
                <w:sz w:val="19"/>
              </w:rPr>
              <w:t>Low</w:t>
            </w:r>
          </w:p>
        </w:tc>
      </w:tr>
      <w:tr>
        <w:tc>
          <w:tcPr>
            <w:tcW w:type="dxa" w:w="1296"/>
            <w:shd w:val="clear" w:color="auto" w:fill="FFFFFF"/>
          </w:tcPr>
          <w:p>
            <w:pPr>
              <w:jc w:val="center"/>
            </w:pPr>
            <w:r>
              <w:rPr>
                <w:rFonts w:ascii="Calibri" w:hAnsi="Calibri"/>
                <w:sz w:val="19"/>
              </w:rPr>
              <w:t>Cobre Panama</w:t>
            </w:r>
          </w:p>
        </w:tc>
        <w:tc>
          <w:tcPr>
            <w:tcW w:type="dxa" w:w="1296"/>
            <w:shd w:val="clear" w:color="auto" w:fill="FFFFFF"/>
          </w:tcPr>
          <w:p>
            <w:pPr>
              <w:jc w:val="center"/>
            </w:pPr>
            <w:r>
              <w:rPr>
                <w:rFonts w:ascii="Calibri" w:hAnsi="Calibri"/>
                <w:sz w:val="19"/>
              </w:rPr>
              <w:t>First Quantum</w:t>
            </w:r>
          </w:p>
        </w:tc>
        <w:tc>
          <w:tcPr>
            <w:tcW w:type="dxa" w:w="1296"/>
            <w:shd w:val="clear" w:color="auto" w:fill="FFFFFF"/>
          </w:tcPr>
          <w:p>
            <w:pPr>
              <w:jc w:val="center"/>
            </w:pPr>
            <w:r>
              <w:rPr>
                <w:rFonts w:ascii="Calibri" w:hAnsi="Calibri"/>
                <w:sz w:val="19"/>
              </w:rPr>
              <w:t>Panama</w:t>
            </w:r>
          </w:p>
        </w:tc>
        <w:tc>
          <w:tcPr>
            <w:tcW w:type="dxa" w:w="1296"/>
            <w:shd w:val="clear" w:color="auto" w:fill="FFFFFF"/>
          </w:tcPr>
          <w:p>
            <w:pPr>
              <w:jc w:val="center"/>
            </w:pPr>
            <w:r>
              <w:rPr>
                <w:rFonts w:ascii="Calibri" w:hAnsi="Calibri"/>
                <w:sz w:val="19"/>
              </w:rPr>
              <w:t>SUSPENDED — political</w:t>
            </w:r>
          </w:p>
        </w:tc>
        <w:tc>
          <w:tcPr>
            <w:tcW w:type="dxa" w:w="1296"/>
            <w:shd w:val="clear" w:color="auto" w:fill="FFFFFF"/>
          </w:tcPr>
          <w:p>
            <w:pPr>
              <w:jc w:val="center"/>
            </w:pPr>
            <w:r>
              <w:rPr>
                <w:rFonts w:ascii="Calibri" w:hAnsi="Calibri"/>
                <w:sz w:val="19"/>
              </w:rPr>
              <w:t>300</w:t>
            </w:r>
          </w:p>
        </w:tc>
        <w:tc>
          <w:tcPr>
            <w:tcW w:type="dxa" w:w="1296"/>
            <w:shd w:val="clear" w:color="auto" w:fill="FFFFFF"/>
          </w:tcPr>
          <w:p>
            <w:pPr>
              <w:jc w:val="center"/>
            </w:pPr>
            <w:r>
              <w:rPr>
                <w:rFonts w:ascii="Calibri" w:hAnsi="Calibri"/>
                <w:sz w:val="19"/>
              </w:rPr>
              <w:t>Uncertain</w:t>
            </w:r>
          </w:p>
        </w:tc>
        <w:tc>
          <w:tcPr>
            <w:tcW w:type="dxa" w:w="1296"/>
            <w:shd w:val="clear" w:color="auto" w:fill="FFFFFF"/>
          </w:tcPr>
          <w:p>
            <w:pPr>
              <w:jc w:val="center"/>
            </w:pPr>
            <w:r>
              <w:rPr>
                <w:rFonts w:ascii="Calibri" w:hAnsi="Calibri"/>
                <w:sz w:val="19"/>
              </w:rPr>
              <w:t>High</w:t>
            </w:r>
          </w:p>
        </w:tc>
      </w:tr>
      <w:tr>
        <w:tc>
          <w:tcPr>
            <w:tcW w:type="dxa" w:w="1296"/>
            <w:shd w:val="clear" w:color="auto" w:fill="F4F6F8"/>
          </w:tcPr>
          <w:p>
            <w:pPr>
              <w:jc w:val="center"/>
            </w:pPr>
            <w:r>
              <w:rPr>
                <w:rFonts w:ascii="Calibri" w:hAnsi="Calibri"/>
                <w:sz w:val="19"/>
              </w:rPr>
              <w:t>Resolution</w:t>
            </w:r>
          </w:p>
        </w:tc>
        <w:tc>
          <w:tcPr>
            <w:tcW w:type="dxa" w:w="1296"/>
            <w:shd w:val="clear" w:color="auto" w:fill="F4F6F8"/>
          </w:tcPr>
          <w:p>
            <w:pPr>
              <w:jc w:val="center"/>
            </w:pPr>
            <w:r>
              <w:rPr>
                <w:rFonts w:ascii="Calibri" w:hAnsi="Calibri"/>
                <w:sz w:val="19"/>
              </w:rPr>
              <w:t>BHP/Rio</w:t>
            </w:r>
          </w:p>
        </w:tc>
        <w:tc>
          <w:tcPr>
            <w:tcW w:type="dxa" w:w="1296"/>
            <w:shd w:val="clear" w:color="auto" w:fill="F4F6F8"/>
          </w:tcPr>
          <w:p>
            <w:pPr>
              <w:jc w:val="center"/>
            </w:pPr>
            <w:r>
              <w:rPr>
                <w:rFonts w:ascii="Calibri" w:hAnsi="Calibri"/>
                <w:sz w:val="19"/>
              </w:rPr>
              <w:t>USA</w:t>
            </w:r>
          </w:p>
        </w:tc>
        <w:tc>
          <w:tcPr>
            <w:tcW w:type="dxa" w:w="1296"/>
            <w:shd w:val="clear" w:color="auto" w:fill="F4F6F8"/>
          </w:tcPr>
          <w:p>
            <w:pPr>
              <w:jc w:val="center"/>
            </w:pPr>
            <w:r>
              <w:rPr>
                <w:rFonts w:ascii="Calibri" w:hAnsi="Calibri"/>
                <w:sz w:val="19"/>
              </w:rPr>
              <w:t>Probable — permitting</w:t>
            </w:r>
          </w:p>
        </w:tc>
        <w:tc>
          <w:tcPr>
            <w:tcW w:type="dxa" w:w="1296"/>
            <w:shd w:val="clear" w:color="auto" w:fill="F4F6F8"/>
          </w:tcPr>
          <w:p>
            <w:pPr>
              <w:jc w:val="center"/>
            </w:pPr>
            <w:r>
              <w:rPr>
                <w:rFonts w:ascii="Calibri" w:hAnsi="Calibri"/>
                <w:sz w:val="19"/>
              </w:rPr>
              <w:t>400</w:t>
            </w:r>
          </w:p>
        </w:tc>
        <w:tc>
          <w:tcPr>
            <w:tcW w:type="dxa" w:w="1296"/>
            <w:shd w:val="clear" w:color="auto" w:fill="F4F6F8"/>
          </w:tcPr>
          <w:p>
            <w:pPr>
              <w:jc w:val="center"/>
            </w:pPr>
            <w:r>
              <w:rPr>
                <w:rFonts w:ascii="Calibri" w:hAnsi="Calibri"/>
                <w:sz w:val="19"/>
              </w:rPr>
              <w:t>2031+</w:t>
            </w:r>
          </w:p>
        </w:tc>
        <w:tc>
          <w:tcPr>
            <w:tcW w:type="dxa" w:w="1296"/>
            <w:shd w:val="clear" w:color="auto" w:fill="F4F6F8"/>
          </w:tcPr>
          <w:p>
            <w:pPr>
              <w:jc w:val="center"/>
            </w:pPr>
            <w:r>
              <w:rPr>
                <w:rFonts w:ascii="Calibri" w:hAnsi="Calibri"/>
                <w:sz w:val="19"/>
              </w:rPr>
              <w:t>High</w:t>
            </w:r>
          </w:p>
        </w:tc>
      </w:tr>
      <w:tr>
        <w:tc>
          <w:tcPr>
            <w:tcW w:type="dxa" w:w="1296"/>
            <w:shd w:val="clear" w:color="auto" w:fill="FFFFFF"/>
          </w:tcPr>
          <w:p>
            <w:pPr>
              <w:jc w:val="center"/>
            </w:pPr>
            <w:r>
              <w:rPr>
                <w:rFonts w:ascii="Calibri" w:hAnsi="Calibri"/>
                <w:sz w:val="19"/>
              </w:rPr>
              <w:t>Tampakan</w:t>
            </w:r>
          </w:p>
        </w:tc>
        <w:tc>
          <w:tcPr>
            <w:tcW w:type="dxa" w:w="1296"/>
            <w:shd w:val="clear" w:color="auto" w:fill="FFFFFF"/>
          </w:tcPr>
          <w:p>
            <w:pPr>
              <w:jc w:val="center"/>
            </w:pPr>
            <w:r>
              <w:rPr>
                <w:rFonts w:ascii="Calibri" w:hAnsi="Calibri"/>
                <w:sz w:val="19"/>
              </w:rPr>
              <w:t>Sagittarius</w:t>
            </w:r>
          </w:p>
        </w:tc>
        <w:tc>
          <w:tcPr>
            <w:tcW w:type="dxa" w:w="1296"/>
            <w:shd w:val="clear" w:color="auto" w:fill="FFFFFF"/>
          </w:tcPr>
          <w:p>
            <w:pPr>
              <w:jc w:val="center"/>
            </w:pPr>
            <w:r>
              <w:rPr>
                <w:rFonts w:ascii="Calibri" w:hAnsi="Calibri"/>
                <w:sz w:val="19"/>
              </w:rPr>
              <w:t>Philippines</w:t>
            </w:r>
          </w:p>
        </w:tc>
        <w:tc>
          <w:tcPr>
            <w:tcW w:type="dxa" w:w="1296"/>
            <w:shd w:val="clear" w:color="auto" w:fill="FFFFFF"/>
          </w:tcPr>
          <w:p>
            <w:pPr>
              <w:jc w:val="center"/>
            </w:pPr>
            <w:r>
              <w:rPr>
                <w:rFonts w:ascii="Calibri" w:hAnsi="Calibri"/>
                <w:sz w:val="19"/>
              </w:rPr>
              <w:t>Probable — blocked</w:t>
            </w:r>
          </w:p>
        </w:tc>
        <w:tc>
          <w:tcPr>
            <w:tcW w:type="dxa" w:w="1296"/>
            <w:shd w:val="clear" w:color="auto" w:fill="FFFFFF"/>
          </w:tcPr>
          <w:p>
            <w:pPr>
              <w:jc w:val="center"/>
            </w:pPr>
            <w:r>
              <w:rPr>
                <w:rFonts w:ascii="Calibri" w:hAnsi="Calibri"/>
                <w:sz w:val="19"/>
              </w:rPr>
              <w:t>375</w:t>
            </w:r>
          </w:p>
        </w:tc>
        <w:tc>
          <w:tcPr>
            <w:tcW w:type="dxa" w:w="1296"/>
            <w:shd w:val="clear" w:color="auto" w:fill="FFFFFF"/>
          </w:tcPr>
          <w:p>
            <w:pPr>
              <w:jc w:val="center"/>
            </w:pPr>
            <w:r>
              <w:rPr>
                <w:rFonts w:ascii="Calibri" w:hAnsi="Calibri"/>
                <w:sz w:val="19"/>
              </w:rPr>
              <w:t>Uncertain</w:t>
            </w:r>
          </w:p>
        </w:tc>
        <w:tc>
          <w:tcPr>
            <w:tcW w:type="dxa" w:w="1296"/>
            <w:shd w:val="clear" w:color="auto" w:fill="FFFFFF"/>
          </w:tcPr>
          <w:p>
            <w:pPr>
              <w:jc w:val="center"/>
            </w:pPr>
            <w:r>
              <w:rPr>
                <w:rFonts w:ascii="Calibri" w:hAnsi="Calibri"/>
                <w:sz w:val="19"/>
              </w:rPr>
              <w:t>Very High</w:t>
            </w:r>
          </w:p>
        </w:tc>
      </w:tr>
    </w:tbl>
    <w:p/>
    <w:p>
      <w:pPr>
        <w:spacing w:before="0" w:after="80"/>
      </w:pPr>
      <w:r>
        <w:rPr>
          <w:rFonts w:ascii="Calibri" w:hAnsi="Calibri"/>
          <w:i w:val="0"/>
          <w:color w:val="B83232"/>
          <w:sz w:val="20"/>
        </w:rPr>
        <w:t>Cobre Panama suspension (300ktpa, ~1.2% of global supply) in November 2023 illustrates the idiosyncratic political risk embedded in the supply pipeline. Resolution and Tampakan are classified as probable but face permitting and community opposition challenges that have already delayed both projects by 5+ years.</w:t>
      </w:r>
    </w:p>
    <w:p>
      <w:pPr>
        <w:spacing w:before="120" w:after="40"/>
      </w:pPr>
      <w:r>
        <w:rPr>
          <w:rFonts w:ascii="Calibri" w:hAnsi="Calibri"/>
          <w:b/>
          <w:color w:val="1B4F72"/>
          <w:sz w:val="22"/>
        </w:rPr>
        <w:t>3. Miner EV/EBITDA Valuation vs 5-Year Average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pPr>
              <w:jc w:val="center"/>
            </w:pPr>
            <w:r>
              <w:rPr>
                <w:rFonts w:ascii="Calibri" w:hAnsi="Calibri"/>
                <w:b/>
                <w:color w:val="FFFFFF"/>
                <w:sz w:val="19"/>
              </w:rPr>
              <w:t>Company</w:t>
            </w:r>
          </w:p>
        </w:tc>
        <w:tc>
          <w:tcPr>
            <w:tcW w:type="dxa" w:w="1512"/>
            <w:shd w:val="clear" w:color="auto" w:fill="0D1B2A"/>
          </w:tcPr>
          <w:p>
            <w:pPr>
              <w:jc w:val="center"/>
            </w:pPr>
            <w:r>
              <w:rPr>
                <w:rFonts w:ascii="Calibri" w:hAnsi="Calibri"/>
                <w:b/>
                <w:color w:val="FFFFFF"/>
                <w:sz w:val="19"/>
              </w:rPr>
              <w:t>Ticker</w:t>
            </w:r>
          </w:p>
        </w:tc>
        <w:tc>
          <w:tcPr>
            <w:tcW w:type="dxa" w:w="1512"/>
            <w:shd w:val="clear" w:color="auto" w:fill="0D1B2A"/>
          </w:tcPr>
          <w:p>
            <w:pPr>
              <w:jc w:val="center"/>
            </w:pPr>
            <w:r>
              <w:rPr>
                <w:rFonts w:ascii="Calibri" w:hAnsi="Calibri"/>
                <w:b/>
                <w:color w:val="FFFFFF"/>
                <w:sz w:val="19"/>
              </w:rPr>
              <w:t>Current EV/EBITDA</w:t>
            </w:r>
          </w:p>
        </w:tc>
        <w:tc>
          <w:tcPr>
            <w:tcW w:type="dxa" w:w="1512"/>
            <w:shd w:val="clear" w:color="auto" w:fill="0D1B2A"/>
          </w:tcPr>
          <w:p>
            <w:pPr>
              <w:jc w:val="center"/>
            </w:pPr>
            <w:r>
              <w:rPr>
                <w:rFonts w:ascii="Calibri" w:hAnsi="Calibri"/>
                <w:b/>
                <w:color w:val="FFFFFF"/>
                <w:sz w:val="19"/>
              </w:rPr>
              <w:t>5yr Average</w:t>
            </w:r>
          </w:p>
        </w:tc>
        <w:tc>
          <w:tcPr>
            <w:tcW w:type="dxa" w:w="1512"/>
            <w:shd w:val="clear" w:color="auto" w:fill="0D1B2A"/>
          </w:tcPr>
          <w:p>
            <w:pPr>
              <w:jc w:val="center"/>
            </w:pPr>
            <w:r>
              <w:rPr>
                <w:rFonts w:ascii="Calibri" w:hAnsi="Calibri"/>
                <w:b/>
                <w:color w:val="FFFFFF"/>
                <w:sz w:val="19"/>
              </w:rPr>
              <w:t>Discount</w:t>
            </w:r>
          </w:p>
        </w:tc>
        <w:tc>
          <w:tcPr>
            <w:tcW w:type="dxa" w:w="1512"/>
            <w:shd w:val="clear" w:color="auto" w:fill="0D1B2A"/>
          </w:tcPr>
          <w:p>
            <w:pPr>
              <w:jc w:val="center"/>
            </w:pPr>
            <w:r>
              <w:rPr>
                <w:rFonts w:ascii="Calibri" w:hAnsi="Calibri"/>
                <w:b/>
                <w:color w:val="FFFFFF"/>
                <w:sz w:val="19"/>
              </w:rPr>
              <w:t>At $5.50/lb Cu</w:t>
            </w:r>
          </w:p>
        </w:tc>
      </w:tr>
      <w:tr>
        <w:tc>
          <w:tcPr>
            <w:tcW w:type="dxa" w:w="1512"/>
            <w:shd w:val="clear" w:color="auto" w:fill="F4F6F8"/>
          </w:tcPr>
          <w:p>
            <w:pPr>
              <w:jc w:val="center"/>
            </w:pPr>
            <w:r>
              <w:rPr>
                <w:rFonts w:ascii="Calibri" w:hAnsi="Calibri"/>
                <w:sz w:val="19"/>
              </w:rPr>
              <w:t>Freeport-McMoRan</w:t>
            </w:r>
          </w:p>
        </w:tc>
        <w:tc>
          <w:tcPr>
            <w:tcW w:type="dxa" w:w="1512"/>
            <w:shd w:val="clear" w:color="auto" w:fill="F4F6F8"/>
          </w:tcPr>
          <w:p>
            <w:pPr>
              <w:jc w:val="center"/>
            </w:pPr>
            <w:r>
              <w:rPr>
                <w:rFonts w:ascii="Calibri" w:hAnsi="Calibri"/>
                <w:sz w:val="19"/>
              </w:rPr>
              <w:t>FCX</w:t>
            </w:r>
          </w:p>
        </w:tc>
        <w:tc>
          <w:tcPr>
            <w:tcW w:type="dxa" w:w="1512"/>
            <w:shd w:val="clear" w:color="auto" w:fill="F4F6F8"/>
          </w:tcPr>
          <w:p>
            <w:pPr>
              <w:jc w:val="center"/>
            </w:pPr>
            <w:r>
              <w:rPr>
                <w:rFonts w:ascii="Calibri" w:hAnsi="Calibri"/>
                <w:sz w:val="19"/>
              </w:rPr>
              <w:t>9.1x</w:t>
            </w:r>
          </w:p>
        </w:tc>
        <w:tc>
          <w:tcPr>
            <w:tcW w:type="dxa" w:w="1512"/>
            <w:shd w:val="clear" w:color="auto" w:fill="F4F6F8"/>
          </w:tcPr>
          <w:p>
            <w:pPr>
              <w:jc w:val="center"/>
            </w:pPr>
            <w:r>
              <w:rPr>
                <w:rFonts w:ascii="Calibri" w:hAnsi="Calibri"/>
                <w:sz w:val="19"/>
              </w:rPr>
              <w:t>12.3x</w:t>
            </w:r>
          </w:p>
        </w:tc>
        <w:tc>
          <w:tcPr>
            <w:tcW w:type="dxa" w:w="1512"/>
            <w:shd w:val="clear" w:color="auto" w:fill="F4F6F8"/>
          </w:tcPr>
          <w:p>
            <w:pPr>
              <w:jc w:val="center"/>
            </w:pPr>
            <w:r>
              <w:rPr>
                <w:rFonts w:ascii="Calibri" w:hAnsi="Calibri"/>
                <w:sz w:val="19"/>
              </w:rPr>
              <w:t>-26%</w:t>
            </w:r>
          </w:p>
        </w:tc>
        <w:tc>
          <w:tcPr>
            <w:tcW w:type="dxa" w:w="1512"/>
            <w:shd w:val="clear" w:color="auto" w:fill="F4F6F8"/>
          </w:tcPr>
          <w:p>
            <w:pPr>
              <w:jc w:val="center"/>
            </w:pPr>
            <w:r>
              <w:rPr>
                <w:rFonts w:ascii="Calibri" w:hAnsi="Calibri"/>
                <w:sz w:val="19"/>
              </w:rPr>
              <w:t>~11.5x</w:t>
            </w:r>
          </w:p>
        </w:tc>
      </w:tr>
      <w:tr>
        <w:tc>
          <w:tcPr>
            <w:tcW w:type="dxa" w:w="1512"/>
            <w:shd w:val="clear" w:color="auto" w:fill="FFFFFF"/>
          </w:tcPr>
          <w:p>
            <w:pPr>
              <w:jc w:val="center"/>
            </w:pPr>
            <w:r>
              <w:rPr>
                <w:rFonts w:ascii="Calibri" w:hAnsi="Calibri"/>
                <w:sz w:val="19"/>
              </w:rPr>
              <w:t>Southern Copper</w:t>
            </w:r>
          </w:p>
        </w:tc>
        <w:tc>
          <w:tcPr>
            <w:tcW w:type="dxa" w:w="1512"/>
            <w:shd w:val="clear" w:color="auto" w:fill="FFFFFF"/>
          </w:tcPr>
          <w:p>
            <w:pPr>
              <w:jc w:val="center"/>
            </w:pPr>
            <w:r>
              <w:rPr>
                <w:rFonts w:ascii="Calibri" w:hAnsi="Calibri"/>
                <w:sz w:val="19"/>
              </w:rPr>
              <w:t>SCCO</w:t>
            </w:r>
          </w:p>
        </w:tc>
        <w:tc>
          <w:tcPr>
            <w:tcW w:type="dxa" w:w="1512"/>
            <w:shd w:val="clear" w:color="auto" w:fill="FFFFFF"/>
          </w:tcPr>
          <w:p>
            <w:pPr>
              <w:jc w:val="center"/>
            </w:pPr>
            <w:r>
              <w:rPr>
                <w:rFonts w:ascii="Calibri" w:hAnsi="Calibri"/>
                <w:sz w:val="19"/>
              </w:rPr>
              <w:t>11.8x</w:t>
            </w:r>
          </w:p>
        </w:tc>
        <w:tc>
          <w:tcPr>
            <w:tcW w:type="dxa" w:w="1512"/>
            <w:shd w:val="clear" w:color="auto" w:fill="FFFFFF"/>
          </w:tcPr>
          <w:p>
            <w:pPr>
              <w:jc w:val="center"/>
            </w:pPr>
            <w:r>
              <w:rPr>
                <w:rFonts w:ascii="Calibri" w:hAnsi="Calibri"/>
                <w:sz w:val="19"/>
              </w:rPr>
              <w:t>14.8x</w:t>
            </w:r>
          </w:p>
        </w:tc>
        <w:tc>
          <w:tcPr>
            <w:tcW w:type="dxa" w:w="1512"/>
            <w:shd w:val="clear" w:color="auto" w:fill="FFFFFF"/>
          </w:tcPr>
          <w:p>
            <w:pPr>
              <w:jc w:val="center"/>
            </w:pPr>
            <w:r>
              <w:rPr>
                <w:rFonts w:ascii="Calibri" w:hAnsi="Calibri"/>
                <w:sz w:val="19"/>
              </w:rPr>
              <w:t>-20%</w:t>
            </w:r>
          </w:p>
        </w:tc>
        <w:tc>
          <w:tcPr>
            <w:tcW w:type="dxa" w:w="1512"/>
            <w:shd w:val="clear" w:color="auto" w:fill="FFFFFF"/>
          </w:tcPr>
          <w:p>
            <w:pPr>
              <w:jc w:val="center"/>
            </w:pPr>
            <w:r>
              <w:rPr>
                <w:rFonts w:ascii="Calibri" w:hAnsi="Calibri"/>
                <w:sz w:val="19"/>
              </w:rPr>
              <w:t>~14.2x</w:t>
            </w:r>
          </w:p>
        </w:tc>
      </w:tr>
      <w:tr>
        <w:tc>
          <w:tcPr>
            <w:tcW w:type="dxa" w:w="1512"/>
            <w:shd w:val="clear" w:color="auto" w:fill="F4F6F8"/>
          </w:tcPr>
          <w:p>
            <w:pPr>
              <w:jc w:val="center"/>
            </w:pPr>
            <w:r>
              <w:rPr>
                <w:rFonts w:ascii="Calibri" w:hAnsi="Calibri"/>
                <w:sz w:val="19"/>
              </w:rPr>
              <w:t>BHP</w:t>
            </w:r>
          </w:p>
        </w:tc>
        <w:tc>
          <w:tcPr>
            <w:tcW w:type="dxa" w:w="1512"/>
            <w:shd w:val="clear" w:color="auto" w:fill="F4F6F8"/>
          </w:tcPr>
          <w:p>
            <w:pPr>
              <w:jc w:val="center"/>
            </w:pPr>
            <w:r>
              <w:rPr>
                <w:rFonts w:ascii="Calibri" w:hAnsi="Calibri"/>
                <w:sz w:val="19"/>
              </w:rPr>
              <w:t>BHP</w:t>
            </w:r>
          </w:p>
        </w:tc>
        <w:tc>
          <w:tcPr>
            <w:tcW w:type="dxa" w:w="1512"/>
            <w:shd w:val="clear" w:color="auto" w:fill="F4F6F8"/>
          </w:tcPr>
          <w:p>
            <w:pPr>
              <w:jc w:val="center"/>
            </w:pPr>
            <w:r>
              <w:rPr>
                <w:rFonts w:ascii="Calibri" w:hAnsi="Calibri"/>
                <w:sz w:val="19"/>
              </w:rPr>
              <w:t>5.8x</w:t>
            </w:r>
          </w:p>
        </w:tc>
        <w:tc>
          <w:tcPr>
            <w:tcW w:type="dxa" w:w="1512"/>
            <w:shd w:val="clear" w:color="auto" w:fill="F4F6F8"/>
          </w:tcPr>
          <w:p>
            <w:pPr>
              <w:jc w:val="center"/>
            </w:pPr>
            <w:r>
              <w:rPr>
                <w:rFonts w:ascii="Calibri" w:hAnsi="Calibri"/>
                <w:sz w:val="19"/>
              </w:rPr>
              <w:t>7.4x</w:t>
            </w:r>
          </w:p>
        </w:tc>
        <w:tc>
          <w:tcPr>
            <w:tcW w:type="dxa" w:w="1512"/>
            <w:shd w:val="clear" w:color="auto" w:fill="F4F6F8"/>
          </w:tcPr>
          <w:p>
            <w:pPr>
              <w:jc w:val="center"/>
            </w:pPr>
            <w:r>
              <w:rPr>
                <w:rFonts w:ascii="Calibri" w:hAnsi="Calibri"/>
                <w:sz w:val="19"/>
              </w:rPr>
              <w:t>-22%</w:t>
            </w:r>
          </w:p>
        </w:tc>
        <w:tc>
          <w:tcPr>
            <w:tcW w:type="dxa" w:w="1512"/>
            <w:shd w:val="clear" w:color="auto" w:fill="F4F6F8"/>
          </w:tcPr>
          <w:p>
            <w:pPr>
              <w:jc w:val="center"/>
            </w:pPr>
            <w:r>
              <w:rPr>
                <w:rFonts w:ascii="Calibri" w:hAnsi="Calibri"/>
                <w:sz w:val="19"/>
              </w:rPr>
              <w:t>~7.0x</w:t>
            </w:r>
          </w:p>
        </w:tc>
      </w:tr>
      <w:tr>
        <w:tc>
          <w:tcPr>
            <w:tcW w:type="dxa" w:w="1512"/>
            <w:shd w:val="clear" w:color="auto" w:fill="FFFFFF"/>
          </w:tcPr>
          <w:p>
            <w:pPr>
              <w:jc w:val="center"/>
            </w:pPr>
            <w:r>
              <w:rPr>
                <w:rFonts w:ascii="Calibri" w:hAnsi="Calibri"/>
                <w:sz w:val="19"/>
              </w:rPr>
              <w:t>Antofagasta</w:t>
            </w:r>
          </w:p>
        </w:tc>
        <w:tc>
          <w:tcPr>
            <w:tcW w:type="dxa" w:w="1512"/>
            <w:shd w:val="clear" w:color="auto" w:fill="FFFFFF"/>
          </w:tcPr>
          <w:p>
            <w:pPr>
              <w:jc w:val="center"/>
            </w:pPr>
            <w:r>
              <w:rPr>
                <w:rFonts w:ascii="Calibri" w:hAnsi="Calibri"/>
                <w:sz w:val="19"/>
              </w:rPr>
              <w:t>ANTO</w:t>
            </w:r>
          </w:p>
        </w:tc>
        <w:tc>
          <w:tcPr>
            <w:tcW w:type="dxa" w:w="1512"/>
            <w:shd w:val="clear" w:color="auto" w:fill="FFFFFF"/>
          </w:tcPr>
          <w:p>
            <w:pPr>
              <w:jc w:val="center"/>
            </w:pPr>
            <w:r>
              <w:rPr>
                <w:rFonts w:ascii="Calibri" w:hAnsi="Calibri"/>
                <w:sz w:val="19"/>
              </w:rPr>
              <w:t>7.1x</w:t>
            </w:r>
          </w:p>
        </w:tc>
        <w:tc>
          <w:tcPr>
            <w:tcW w:type="dxa" w:w="1512"/>
            <w:shd w:val="clear" w:color="auto" w:fill="FFFFFF"/>
          </w:tcPr>
          <w:p>
            <w:pPr>
              <w:jc w:val="center"/>
            </w:pPr>
            <w:r>
              <w:rPr>
                <w:rFonts w:ascii="Calibri" w:hAnsi="Calibri"/>
                <w:sz w:val="19"/>
              </w:rPr>
              <w:t>8.9x</w:t>
            </w:r>
          </w:p>
        </w:tc>
        <w:tc>
          <w:tcPr>
            <w:tcW w:type="dxa" w:w="1512"/>
            <w:shd w:val="clear" w:color="auto" w:fill="FFFFFF"/>
          </w:tcPr>
          <w:p>
            <w:pPr>
              <w:jc w:val="center"/>
            </w:pPr>
            <w:r>
              <w:rPr>
                <w:rFonts w:ascii="Calibri" w:hAnsi="Calibri"/>
                <w:sz w:val="19"/>
              </w:rPr>
              <w:t>-20%</w:t>
            </w:r>
          </w:p>
        </w:tc>
        <w:tc>
          <w:tcPr>
            <w:tcW w:type="dxa" w:w="1512"/>
            <w:shd w:val="clear" w:color="auto" w:fill="FFFFFF"/>
          </w:tcPr>
          <w:p>
            <w:pPr>
              <w:jc w:val="center"/>
            </w:pPr>
            <w:r>
              <w:rPr>
                <w:rFonts w:ascii="Calibri" w:hAnsi="Calibri"/>
                <w:sz w:val="19"/>
              </w:rPr>
              <w:t>~8.5x</w:t>
            </w:r>
          </w:p>
        </w:tc>
      </w:tr>
    </w:tbl>
    <w:p/>
    <w:p>
      <w:pPr>
        <w:spacing w:before="0" w:after="80"/>
      </w:pPr>
      <w:r>
        <w:rPr>
          <w:rFonts w:ascii="Calibri" w:hAnsi="Calibri"/>
          <w:i w:val="0"/>
          <w:sz w:val="20"/>
        </w:rPr>
        <w:t>Miner EV/EBITDA sensitivity to copper price: each $0.50/lb increase in copper price increases blended sector EV/EBITDA by approximately 1.5-2.0x turns at current production costs. At $5.50/lb (Goldman Sachs 12-month target), most miners trade at or below 5-year averages on a spot basis, implying continued upside from the current discount.</w:t>
      </w:r>
    </w:p>
    <w:p>
      <w:pPr>
        <w:spacing w:before="120" w:after="40"/>
      </w:pPr>
      <w:r>
        <w:rPr>
          <w:rFonts w:ascii="Calibri" w:hAnsi="Calibri"/>
          <w:b/>
          <w:color w:val="1B4F72"/>
          <w:sz w:val="22"/>
        </w:rPr>
        <w:t>4. OLS: DXY vs Copper Price ($/t), 2010-2024</w:t>
      </w:r>
    </w:p>
    <w:p>
      <w:pPr>
        <w:spacing w:before="40" w:after="120"/>
        <w:ind w:left="432"/>
      </w:pPr>
      <w:r>
        <w:rPr>
          <w:rFonts w:ascii="Courier New" w:hAnsi="Courier New"/>
          <w:color w:val="1E1E1E"/>
          <w:sz w:val="18"/>
        </w:rPr>
        <w:t xml:space="preserve">                       OLS Regression Results</w:t>
        <w:br/>
        <w:t>================================================================</w:t>
        <w:br/>
        <w:t>Dep. Variable:  Copper Price ($/t)          R-squared:  0.040</w:t>
        <w:br/>
        <w:t>Model:          OLS                          (not significant)</w:t>
        <w:br/>
        <w:t>No. Obs:        15                           p (F-stat): 0.475</w:t>
        <w:br/>
        <w:t>----------------------------------------------------------------</w:t>
        <w:br/>
        <w:t xml:space="preserve">         coef    std err    t      P&gt;|t|</w:t>
        <w:br/>
        <w:t>----------------------------------------------------------------</w:t>
        <w:br/>
        <w:t>const   10704.3  4193.1   2.553   0.023</w:t>
        <w:br/>
        <w:t>DXY     -35.1     47.7   -0.736   0.475</w:t>
        <w:br/>
        <w:t>================================================================</w:t>
        <w:br/>
        <w:t>Note: weak direct relationship. USD direction matters more than level.</w:t>
        <w:br/>
        <w:t>Stronger relationship observed using DXY YoY change vs Cu YoY change.</w:t>
      </w:r>
    </w:p>
    <w:p>
      <w:pPr>
        <w:spacing w:before="0" w:after="80"/>
      </w:pPr>
      <w:r>
        <w:rPr>
          <w:rFonts w:ascii="Calibri" w:hAnsi="Calibri"/>
          <w:i w:val="0"/>
          <w:sz w:val="20"/>
        </w:rPr>
        <w:t>The weak OLS from DXY levels is consistent with academic literature: copper is more sensitive to marginal changes in USD direction and EM demand conditions than to absolute DXY levels. The deficit model is the primary analytical foundation here, not the DXY regression.</w:t>
      </w:r>
    </w:p>
    <w:p>
      <w:pPr>
        <w:spacing w:before="240" w:after="80"/>
        <w:pBdr>
          <w:bottom w:val="single" w:sz="4" w:color="2E86AB"/>
        </w:pBdr>
      </w:pPr>
      <w:r>
        <w:rPr>
          <w:rFonts w:ascii="Calibri" w:hAnsi="Calibri"/>
          <w:b/>
          <w:color w:val="0D1B2A"/>
          <w:sz w:val="24"/>
        </w:rPr>
        <w:t>Charts &amp; Visual Analysis</w:t>
      </w:r>
    </w:p>
    <w:p>
      <w:pPr>
        <w:spacing w:before="120" w:after="40"/>
        <w:jc w:val="center"/>
      </w:pPr>
      <w:r>
        <w:drawing>
          <wp:inline xmlns:a="http://schemas.openxmlformats.org/drawingml/2006/main" xmlns:pic="http://schemas.openxmlformats.org/drawingml/2006/picture">
            <wp:extent cx="5303520" cy="3222589"/>
            <wp:docPr id="1" name="Picture 1"/>
            <wp:cNvGraphicFramePr>
              <a:graphicFrameLocks noChangeAspect="1"/>
            </wp:cNvGraphicFramePr>
            <a:graphic>
              <a:graphicData uri="http://schemas.openxmlformats.org/drawingml/2006/picture">
                <pic:pic>
                  <pic:nvPicPr>
                    <pic:cNvPr id="0" name="memo03_a_supply_demand.png"/>
                    <pic:cNvPicPr/>
                  </pic:nvPicPr>
                  <pic:blipFill>
                    <a:blip r:embed="rId10"/>
                    <a:stretch>
                      <a:fillRect/>
                    </a:stretch>
                  </pic:blipFill>
                  <pic:spPr>
                    <a:xfrm>
                      <a:off x="0" y="0"/>
                      <a:ext cx="5303520" cy="3222589"/>
                    </a:xfrm>
                    <a:prstGeom prst="rect"/>
                  </pic:spPr>
                </pic:pic>
              </a:graphicData>
            </a:graphic>
          </wp:inline>
        </w:drawing>
      </w:r>
    </w:p>
    <w:p>
      <w:pPr>
        <w:spacing w:before="0" w:after="200"/>
        <w:jc w:val="center"/>
      </w:pPr>
      <w:r>
        <w:rPr>
          <w:rFonts w:ascii="Calibri" w:hAnsi="Calibri"/>
          <w:i/>
          <w:color w:val="4A5568"/>
          <w:sz w:val="18"/>
        </w:rPr>
        <w:t>Figure 1: Copper supply-demand balance 2024–2030. Base case (no probable mine delivery) implies 33 Mt cumulative deficit. Annual deficit shown in red. Source: ICSG 2024, Wood Mackenzie, IEA.</w:t>
      </w:r>
    </w:p>
    <w:p>
      <w:pPr>
        <w:spacing w:before="120" w:after="40"/>
        <w:jc w:val="center"/>
      </w:pPr>
      <w:r>
        <w:drawing>
          <wp:inline xmlns:a="http://schemas.openxmlformats.org/drawingml/2006/main" xmlns:pic="http://schemas.openxmlformats.org/drawingml/2006/picture">
            <wp:extent cx="5303520" cy="3035772"/>
            <wp:docPr id="2" name="Picture 2"/>
            <wp:cNvGraphicFramePr>
              <a:graphicFrameLocks noChangeAspect="1"/>
            </wp:cNvGraphicFramePr>
            <a:graphic>
              <a:graphicData uri="http://schemas.openxmlformats.org/drawingml/2006/picture">
                <pic:pic>
                  <pic:nvPicPr>
                    <pic:cNvPr id="0" name="memo03_b_miner_valuations.png"/>
                    <pic:cNvPicPr/>
                  </pic:nvPicPr>
                  <pic:blipFill>
                    <a:blip r:embed="rId11"/>
                    <a:stretch>
                      <a:fillRect/>
                    </a:stretch>
                  </pic:blipFill>
                  <pic:spPr>
                    <a:xfrm>
                      <a:off x="0" y="0"/>
                      <a:ext cx="5303520" cy="3035772"/>
                    </a:xfrm>
                    <a:prstGeom prst="rect"/>
                  </pic:spPr>
                </pic:pic>
              </a:graphicData>
            </a:graphic>
          </wp:inline>
        </w:drawing>
      </w:r>
    </w:p>
    <w:p>
      <w:pPr>
        <w:spacing w:before="0" w:after="200"/>
        <w:jc w:val="center"/>
      </w:pPr>
      <w:r>
        <w:rPr>
          <w:rFonts w:ascii="Calibri" w:hAnsi="Calibri"/>
          <w:i/>
          <w:color w:val="4A5568"/>
          <w:sz w:val="18"/>
        </w:rPr>
        <w:t>Figure 2: Copper miner EV/EBITDA: current vs 5-year average. Average 22% discount across FCX, SCCO, BHP, ANTO, TECK. Discount labels show percentage below 5yr mean. Source: FactSet Q1 2026.</w:t>
      </w:r>
    </w:p>
    <w:p>
      <w:pPr>
        <w:spacing w:before="240" w:after="80"/>
        <w:pBdr>
          <w:bottom w:val="single" w:sz="4" w:color="2E86AB"/>
        </w:pBdr>
      </w:pPr>
      <w:r>
        <w:rPr>
          <w:rFonts w:ascii="Calibri" w:hAnsi="Calibri"/>
          <w:b/>
          <w:color w:val="0D1B2A"/>
          <w:sz w:val="24"/>
        </w:rPr>
        <w:t>Charts &amp; Visual Analysis</w:t>
      </w:r>
    </w:p>
    <w:p>
      <w:pPr>
        <w:spacing w:before="120" w:after="40"/>
        <w:jc w:val="center"/>
      </w:pPr>
      <w:r>
        <w:drawing>
          <wp:inline xmlns:a="http://schemas.openxmlformats.org/drawingml/2006/main" xmlns:pic="http://schemas.openxmlformats.org/drawingml/2006/picture">
            <wp:extent cx="5303520" cy="3222589"/>
            <wp:docPr id="3" name="Picture 3"/>
            <wp:cNvGraphicFramePr>
              <a:graphicFrameLocks noChangeAspect="1"/>
            </wp:cNvGraphicFramePr>
            <a:graphic>
              <a:graphicData uri="http://schemas.openxmlformats.org/drawingml/2006/picture">
                <pic:pic>
                  <pic:nvPicPr>
                    <pic:cNvPr id="0" name="memo03_a_supply_demand.png"/>
                    <pic:cNvPicPr/>
                  </pic:nvPicPr>
                  <pic:blipFill>
                    <a:blip r:embed="rId12"/>
                    <a:stretch>
                      <a:fillRect/>
                    </a:stretch>
                  </pic:blipFill>
                  <pic:spPr>
                    <a:xfrm>
                      <a:off x="0" y="0"/>
                      <a:ext cx="5303520" cy="3222589"/>
                    </a:xfrm>
                    <a:prstGeom prst="rect"/>
                  </pic:spPr>
                </pic:pic>
              </a:graphicData>
            </a:graphic>
          </wp:inline>
        </w:drawing>
      </w:r>
    </w:p>
    <w:p>
      <w:pPr>
        <w:spacing w:before="0" w:after="200"/>
        <w:jc w:val="center"/>
      </w:pPr>
      <w:r>
        <w:rPr>
          <w:rFonts w:ascii="Calibri" w:hAnsi="Calibri"/>
          <w:i/>
          <w:color w:val="4A5568"/>
          <w:sz w:val="18"/>
        </w:rPr>
        <w:t>Figure 1: Copper supply-demand balance 2024–2030. Base case (no probable mine delivery) implies 33 Mt cumulative deficit. Annual deficit shown in red. Source: ICSG 2024, Wood Mackenzie, IEA.</w:t>
      </w:r>
    </w:p>
    <w:p>
      <w:pPr>
        <w:spacing w:before="120" w:after="40"/>
        <w:jc w:val="center"/>
      </w:pPr>
      <w:r>
        <w:drawing>
          <wp:inline xmlns:a="http://schemas.openxmlformats.org/drawingml/2006/main" xmlns:pic="http://schemas.openxmlformats.org/drawingml/2006/picture">
            <wp:extent cx="5303520" cy="3035772"/>
            <wp:docPr id="4" name="Picture 4"/>
            <wp:cNvGraphicFramePr>
              <a:graphicFrameLocks noChangeAspect="1"/>
            </wp:cNvGraphicFramePr>
            <a:graphic>
              <a:graphicData uri="http://schemas.openxmlformats.org/drawingml/2006/picture">
                <pic:pic>
                  <pic:nvPicPr>
                    <pic:cNvPr id="0" name="memo03_b_miner_valuations.png"/>
                    <pic:cNvPicPr/>
                  </pic:nvPicPr>
                  <pic:blipFill>
                    <a:blip r:embed="rId13"/>
                    <a:stretch>
                      <a:fillRect/>
                    </a:stretch>
                  </pic:blipFill>
                  <pic:spPr>
                    <a:xfrm>
                      <a:off x="0" y="0"/>
                      <a:ext cx="5303520" cy="3035772"/>
                    </a:xfrm>
                    <a:prstGeom prst="rect"/>
                  </pic:spPr>
                </pic:pic>
              </a:graphicData>
            </a:graphic>
          </wp:inline>
        </w:drawing>
      </w:r>
    </w:p>
    <w:p>
      <w:pPr>
        <w:spacing w:before="0" w:after="200"/>
        <w:jc w:val="center"/>
      </w:pPr>
      <w:r>
        <w:rPr>
          <w:rFonts w:ascii="Calibri" w:hAnsi="Calibri"/>
          <w:i/>
          <w:color w:val="4A5568"/>
          <w:sz w:val="18"/>
        </w:rPr>
        <w:t>Figure 2: Copper miner EV/EBITDA: current vs 5-year average. Average 22% discount across FCX, SCCO, BHP, ANTO, TECK. Discount labels show percentage below 5yr mean. Source: FactSet Q1 2026.</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Memo #3  ·  For educational purposes only — not investment advice  ·  Sources: Wood Mackenzie, ICSG, Goldman Sachs, BofA, FactSet, Bloomberg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