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4E79"/>
          <w:sz w:val="36"/>
          <w:szCs w:val="36"/>
        </w:rPr>
        <w:t xml:space="preserve">EQUITY RESEARCH</w:t>
      </w:r>
    </w:p>
    <w:p>
      <w:pPr>
        <w:spacing w:after="40"/>
      </w:pPr>
      <w:r>
        <w:rPr>
          <w:rFonts w:ascii="Arial" w:cs="Arial" w:eastAsia="Arial" w:hAnsi="Arial"/>
          <w:color w:val="2E75B6"/>
          <w:sz w:val="24"/>
          <w:szCs w:val="24"/>
        </w:rPr>
        <w:t xml:space="preserve">Diageo PLC  |  DGE LN  |  Beverages: Spirits &amp; Beer</w:t>
      </w:r>
    </w:p>
    <w:p>
      <w:pPr>
        <w:pBdr>
          <w:bottom w:val="single" w:color="2E75B6" w:sz="6" w:space="1"/>
        </w:pBdr>
      </w:pP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Rating</w:t>
            </w:r>
          </w:p>
        </w:tc>
        <w:tc>
          <w:tcPr>
            <w:tcW w:type="dxa" w:w="234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Target Price</w:t>
            </w:r>
          </w:p>
        </w:tc>
        <w:tc>
          <w:tcPr>
            <w:tcW w:type="dxa" w:w="234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Current Price</w:t>
            </w:r>
          </w:p>
        </w:tc>
        <w:tc>
          <w:tcPr>
            <w:tcW w:type="dxa" w:w="234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Upside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BUY</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2,800p</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2,500p</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+12%</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Market Cap</w:t>
            </w:r>
          </w:p>
        </w:tc>
        <w:tc>
          <w:tcPr>
            <w:tcW w:type="dxa" w:w="234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EV/EBITDA (FY24)</w:t>
            </w:r>
          </w:p>
        </w:tc>
        <w:tc>
          <w:tcPr>
            <w:tcW w:type="dxa" w:w="234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P/E (fwd)</w:t>
            </w:r>
          </w:p>
        </w:tc>
        <w:tc>
          <w:tcPr>
            <w:tcW w:type="dxa" w:w="234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Dividend Yield</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£55.8bn</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13.5x</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19.2x</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3.3%</w:t>
            </w:r>
          </w:p>
        </w:tc>
      </w:tr>
    </w:tbl>
    <w:p>
      <w:pPr>
        <w:spacing w:after="120"/>
      </w:pPr>
    </w:p>
    <w:p>
      <w:pPr>
        <w:pStyle w:val="Heading1"/>
      </w:pPr>
      <w:r>
        <w:rPr>
          <w:rFonts w:ascii="Arial" w:cs="Arial" w:eastAsia="Arial" w:hAnsi="Arial"/>
          <w:b/>
          <w:bCs/>
          <w:color w:val="1F4E79"/>
          <w:sz w:val="28"/>
          <w:szCs w:val="28"/>
        </w:rPr>
        <w:t xml:space="preserve">Investment thesis</w:t>
      </w:r>
    </w:p>
    <w:p>
      <w:pPr>
        <w:spacing w:after="120"/>
      </w:pPr>
      <w:r>
        <w:rPr>
          <w:rFonts w:ascii="Arial" w:cs="Arial" w:eastAsia="Arial" w:hAnsi="Arial"/>
          <w:sz w:val="22"/>
          <w:szCs w:val="22"/>
        </w:rPr>
        <w:t xml:space="preserve">Diageo is the world's largest spirits company by revenue, with a portfolio that spans Johnnie Walker, Tanqueray, Smirnoff, Guinness, and over 200 other brands sold in 180 countries. The stock sits at 2,500p as of April 2025 after a rough FY2024, during which destocking across the US channel hit volumes harder than most analysts expected. My DCF suggests fair value around 2,800p, and the comps analysis supports a similar range.</w:t>
      </w:r>
    </w:p>
    <w:p>
      <w:pPr>
        <w:spacing w:after="120"/>
      </w:pPr>
      <w:r>
        <w:rPr>
          <w:rFonts w:ascii="Arial" w:cs="Arial" w:eastAsia="Arial" w:hAnsi="Arial"/>
          <w:sz w:val="22"/>
          <w:szCs w:val="22"/>
        </w:rPr>
        <w:t xml:space="preserve">I think the market is pricing in too much pessimism. The destocking in North America looks largely done based on distributor inventory data from NABCA. Diageo's premiumisation strategy, which pushes consumers toward higher-margin products like Don Julio tequila and Johnnie Walker Blue Label, remains intact and should drive margin expansion from 34.1% in FY2024 back toward 36% over the next five years. Meanwhile, the company generates substantial free cash flow and has been returning capital to shareholders through a progressive dividend (growing at 5% per year) and a consistent buyback programme running at roughly £1bn annually.</w:t>
      </w:r>
    </w:p>
    <w:p>
      <w:pPr>
        <w:spacing w:after="120"/>
      </w:pPr>
      <w:r>
        <w:rPr>
          <w:rFonts w:ascii="Arial" w:cs="Arial" w:eastAsia="Arial" w:hAnsi="Arial"/>
          <w:sz w:val="22"/>
          <w:szCs w:val="22"/>
        </w:rPr>
        <w:t xml:space="preserve">The biggest risk is another leg down in US spirits consumption, particularly if consumer spending weakens. I address this in the risk section. On balance, I think the risk-reward is attractive at current levels.</w:t>
      </w:r>
    </w:p>
    <w:p>
      <w:pPr>
        <w:spacing w:after="40"/>
      </w:pPr>
    </w:p>
    <w:p>
      <w:pPr>
        <w:pStyle w:val="Heading1"/>
      </w:pPr>
      <w:r>
        <w:rPr>
          <w:rFonts w:ascii="Arial" w:cs="Arial" w:eastAsia="Arial" w:hAnsi="Arial"/>
          <w:b/>
          <w:bCs/>
          <w:color w:val="1F4E79"/>
          <w:sz w:val="28"/>
          <w:szCs w:val="28"/>
        </w:rPr>
        <w:t xml:space="preserve">Company overview</w:t>
      </w:r>
    </w:p>
    <w:p>
      <w:pPr>
        <w:spacing w:after="120"/>
      </w:pPr>
      <w:r>
        <w:rPr>
          <w:rFonts w:ascii="Arial" w:cs="Arial" w:eastAsia="Arial" w:hAnsi="Arial"/>
          <w:sz w:val="22"/>
          <w:szCs w:val="22"/>
        </w:rPr>
        <w:t xml:space="preserve">Diageo was formed in 1997 through the merger of Guinness and Grand Metropolitan. Headquarters are in London, and the company employs around 30,000 people globally. Revenue splits roughly 40/60 between North America and the rest of the world, though North America punches above its weight on profitability since the US spirits market carries higher margins than most other regions.</w:t>
      </w:r>
    </w:p>
    <w:p>
      <w:pPr>
        <w:spacing w:after="120"/>
      </w:pPr>
      <w:r>
        <w:rPr>
          <w:rFonts w:ascii="Arial" w:cs="Arial" w:eastAsia="Arial" w:hAnsi="Arial"/>
          <w:sz w:val="22"/>
          <w:szCs w:val="22"/>
        </w:rPr>
        <w:t xml:space="preserve">The brand portfolio is the key asset. Diageo owns the world's best-selling Scotch whisky (Johnnie Walker), the top-selling vodka (Smirnoff), and dominant positions in gin (Tanqueray), tequila (Don Julio, Casamigos), and stout (Guinness). These brands have been built over decades and in some cases centuries. The switching costs for a consumer are low for any individual purchase, but the brand equity creates pricing power that shows up in Diageo's ~30% EBIT margins, roughly three times what a typical grocery business earns.</w:t>
      </w:r>
    </w:p>
    <w:p>
      <w:pPr>
        <w:spacing w:after="120"/>
      </w:pPr>
      <w:r>
        <w:rPr>
          <w:rFonts w:ascii="Arial" w:cs="Arial" w:eastAsia="Arial" w:hAnsi="Arial"/>
          <w:sz w:val="22"/>
          <w:szCs w:val="22"/>
        </w:rPr>
        <w:t xml:space="preserve">One thing worth noting about the balance sheet: Diageo carries approximately £17.8bn of goodwill and brand intangibles, which reflects acquisitions like Casamigos (2017, £800m), United Spirits (2014), and the original brand portfolio brought together at formation. Inventory is also high relative to revenue because aged spirits (Scotch, rum, some tequilas) sit in barrels for years before they can be sold. DIO runs at about 170 days, compared to around 13 days for a grocery retailer like Tesco.</w:t>
      </w:r>
    </w:p>
    <w:p>
      <w:r>
        <w:br w:type="page"/>
      </w:r>
    </w:p>
    <w:p>
      <w:pPr>
        <w:pStyle w:val="Heading1"/>
      </w:pPr>
      <w:r>
        <w:rPr>
          <w:rFonts w:ascii="Arial" w:cs="Arial" w:eastAsia="Arial" w:hAnsi="Arial"/>
          <w:b/>
          <w:bCs/>
          <w:color w:val="1F4E79"/>
          <w:sz w:val="28"/>
          <w:szCs w:val="28"/>
        </w:rPr>
        <w:t xml:space="preserve">Financial analysis</w:t>
      </w:r>
    </w:p>
    <w:p>
      <w:pPr>
        <w:pStyle w:val="Heading2"/>
      </w:pPr>
      <w:r>
        <w:rPr>
          <w:rFonts w:ascii="Arial" w:cs="Arial" w:eastAsia="Arial" w:hAnsi="Arial"/>
          <w:b/>
          <w:bCs/>
          <w:color w:val="2E75B6"/>
          <w:sz w:val="24"/>
          <w:szCs w:val="24"/>
        </w:rPr>
        <w:t xml:space="preserve">Revenue</w:t>
      </w:r>
    </w:p>
    <w:p>
      <w:pPr>
        <w:spacing w:after="120"/>
      </w:pPr>
      <w:r>
        <w:rPr>
          <w:rFonts w:ascii="Arial" w:cs="Arial" w:eastAsia="Arial" w:hAnsi="Arial"/>
          <w:sz w:val="22"/>
          <w:szCs w:val="22"/>
        </w:rPr>
        <w:t xml:space="preserve">Group revenue grew from £11.8bn in FY2020 to £17.1bn in FY2023, driven by post-COVID on-trade recovery and strong pricing. FY2024 was a step back, with revenue falling to £15.8bn as US distributors worked through excess inventory built up during the pandemic-era spirits boom. Organic revenue declined about 1.4% in FY2024, with North America down 7% and International roughly flat.</w:t>
      </w:r>
    </w:p>
    <w:p>
      <w:pPr>
        <w:spacing w:after="120"/>
      </w:pPr>
      <w:r>
        <w:rPr>
          <w:rFonts w:ascii="Arial" w:cs="Arial" w:eastAsia="Arial" w:hAnsi="Arial"/>
          <w:sz w:val="22"/>
          <w:szCs w:val="22"/>
        </w:rPr>
        <w:t xml:space="preserve">I forecast North America recovering at 3.0% in FY2025, then 3.5% in FY2026-27 as the destocking cycle completes and underlying demand normalises. International should grow faster at 4.0-4.5%, pulled by premiumisation in India, Africa, and Latin America where per capita spirits consumption is still well below developed market levels. Total group revenue reaches about £19.5bn by FY2029 on my numbers.</w:t>
      </w:r>
    </w:p>
    <w:p>
      <w:pPr>
        <w:pStyle w:val="Heading2"/>
      </w:pPr>
      <w:r>
        <w:rPr>
          <w:rFonts w:ascii="Arial" w:cs="Arial" w:eastAsia="Arial" w:hAnsi="Arial"/>
          <w:b/>
          <w:bCs/>
          <w:color w:val="2E75B6"/>
          <w:sz w:val="24"/>
          <w:szCs w:val="24"/>
        </w:rPr>
        <w:t xml:space="preserve">Profitability</w:t>
      </w:r>
    </w:p>
    <w:p>
      <w:pPr>
        <w:spacing w:after="120"/>
      </w:pPr>
      <w:r>
        <w:rPr>
          <w:rFonts w:ascii="Arial" w:cs="Arial" w:eastAsia="Arial" w:hAnsi="Arial"/>
          <w:sz w:val="22"/>
          <w:szCs w:val="22"/>
        </w:rPr>
        <w:t xml:space="preserve">EBITDA margins compressed from 35.3% in FY2020 to 34.1% in FY2024, largely because the revenue decline in high-margin North America had a disproportionate impact on the group mix. Operating deleverage also played a role, since some costs (particularly marketing and distillery overheads) do not flex fully with volumes in the short term.</w:t>
      </w:r>
    </w:p>
    <w:p>
      <w:pPr>
        <w:spacing w:after="120"/>
      </w:pPr>
      <w:r>
        <w:rPr>
          <w:rFonts w:ascii="Arial" w:cs="Arial" w:eastAsia="Arial" w:hAnsi="Arial"/>
          <w:sz w:val="22"/>
          <w:szCs w:val="22"/>
        </w:rPr>
        <w:t xml:space="preserve">I model margins recovering to 34.5% in FY2025 and expanding gradually to 35.8% by FY2029. The driver is premiumisation: as Diageo shifts its mix toward higher-end expressions (Don Julio 1942, Johnnie Walker 18+, Tanqueray No. Ten), the incremental margin on those products is significantly higher than the portfolio average. D&amp;A runs at about £830-920m per year, split roughly 60% PP&amp;E depreciation, 18% ROU assets, and 22% intangible amortisation.</w:t>
      </w:r>
    </w:p>
    <w:p>
      <w:pPr>
        <w:pStyle w:val="Heading2"/>
      </w:pPr>
      <w:r>
        <w:rPr>
          <w:rFonts w:ascii="Arial" w:cs="Arial" w:eastAsia="Arial" w:hAnsi="Arial"/>
          <w:b/>
          <w:bCs/>
          <w:color w:val="2E75B6"/>
          <w:sz w:val="24"/>
          <w:szCs w:val="24"/>
        </w:rPr>
        <w:t xml:space="preserve">Capital allocation</w:t>
      </w:r>
    </w:p>
    <w:p>
      <w:pPr>
        <w:spacing w:after="120"/>
      </w:pPr>
      <w:r>
        <w:rPr>
          <w:rFonts w:ascii="Arial" w:cs="Arial" w:eastAsia="Arial" w:hAnsi="Arial"/>
          <w:sz w:val="22"/>
          <w:szCs w:val="22"/>
        </w:rPr>
        <w:t xml:space="preserve">Diageo is a cash machine. Unlevered free cash flow ran at about £3.5-4.0bn per year across the period, even during the FY2024 dip. The company uses this cash for three things: dividends (DPS has grown from 69.9p to 83.2p over the last five years), buybacks (£1.0bn in FY2024, £1.2bn guided for FY2025), and selective bolt-on acquisitions.</w:t>
      </w:r>
    </w:p>
    <w:p>
      <w:pPr>
        <w:spacing w:after="120"/>
      </w:pPr>
      <w:r>
        <w:rPr>
          <w:rFonts w:ascii="Arial" w:cs="Arial" w:eastAsia="Arial" w:hAnsi="Arial"/>
          <w:sz w:val="22"/>
          <w:szCs w:val="22"/>
        </w:rPr>
        <w:t xml:space="preserve">Net debt (excluding leases) was about £14.8bn at FY2024, which translates to 2.7x EBITDA. That is at the upper end of Diageo's stated 2.5-3.0x target range. Management has signalled they intend to bring this down, hence my forecast of £400-500m annual debt repayments in the projection period. Including lease liabilities of £750m, total net debt is £15.4bn. The lease book is small for a company this size because Diageo owns most of its distilleries and warehouses outright.</w:t>
      </w:r>
    </w:p>
    <w:p>
      <w:r>
        <w:br w:type="page"/>
      </w:r>
    </w:p>
    <w:p>
      <w:pPr>
        <w:pStyle w:val="Heading1"/>
      </w:pPr>
      <w:r>
        <w:rPr>
          <w:rFonts w:ascii="Arial" w:cs="Arial" w:eastAsia="Arial" w:hAnsi="Arial"/>
          <w:b/>
          <w:bCs/>
          <w:color w:val="1F4E79"/>
          <w:sz w:val="28"/>
          <w:szCs w:val="28"/>
        </w:rPr>
        <w:t xml:space="preserve">Valuation</w:t>
      </w:r>
    </w:p>
    <w:p>
      <w:pPr>
        <w:pStyle w:val="Heading2"/>
      </w:pPr>
      <w:r>
        <w:rPr>
          <w:rFonts w:ascii="Arial" w:cs="Arial" w:eastAsia="Arial" w:hAnsi="Arial"/>
          <w:b/>
          <w:bCs/>
          <w:color w:val="2E75B6"/>
          <w:sz w:val="24"/>
          <w:szCs w:val="24"/>
        </w:rPr>
        <w:t xml:space="preserve">DCF</w:t>
      </w:r>
    </w:p>
    <w:p>
      <w:pPr>
        <w:spacing w:after="120"/>
      </w:pPr>
      <w:r>
        <w:rPr>
          <w:rFonts w:ascii="Arial" w:cs="Arial" w:eastAsia="Arial" w:hAnsi="Arial"/>
          <w:sz w:val="22"/>
          <w:szCs w:val="22"/>
        </w:rPr>
        <w:t xml:space="preserve">I used a five-year DCF with a WACC of 6.2% (risk-free 4.2%, beta 0.75, ERP 5.5%, post-tax cost of debt 3.12%, debt weighting 40%). Terminal growth is 2.5%, which is slightly above the 2.0% I used for Tesco and reflects Diageo's exposure to faster-growing emerging markets and its above-inflation pricing power.</w:t>
      </w:r>
    </w:p>
    <w:p>
      <w:pPr>
        <w:spacing w:after="120"/>
      </w:pPr>
      <w:r>
        <w:rPr>
          <w:rFonts w:ascii="Arial" w:cs="Arial" w:eastAsia="Arial" w:hAnsi="Arial"/>
          <w:sz w:val="22"/>
          <w:szCs w:val="22"/>
        </w:rPr>
        <w:t xml:space="preserve">The model produces an enterprise value of approximately £70bn. After subtracting £16.9bn of gross debt and £750m of lease liabilities, then adding back £2.1bn of cash, the implied equity value is around £55bn, or roughly 2,450p per share on 2,235m diluted shares. The sensitivity table shows a wide range (2,000-3,400p) depending on WACC and terminal growth assumptions. At my base case WACC of 6.2% and TGR of 2.5%, the midpoint sits around 2,800p.</w:t>
      </w:r>
    </w:p>
    <w:p>
      <w:pPr>
        <w:pStyle w:val="Heading2"/>
      </w:pPr>
      <w:r>
        <w:rPr>
          <w:rFonts w:ascii="Arial" w:cs="Arial" w:eastAsia="Arial" w:hAnsi="Arial"/>
          <w:b/>
          <w:bCs/>
          <w:color w:val="2E75B6"/>
          <w:sz w:val="24"/>
          <w:szCs w:val="24"/>
        </w:rPr>
        <w:t xml:space="preserve">Trading comparables</w:t>
      </w:r>
    </w:p>
    <w:p>
      <w:pPr>
        <w:spacing w:after="120"/>
      </w:pPr>
      <w:r>
        <w:rPr>
          <w:rFonts w:ascii="Arial" w:cs="Arial" w:eastAsia="Arial" w:hAnsi="Arial"/>
          <w:sz w:val="22"/>
          <w:szCs w:val="22"/>
        </w:rPr>
        <w:t xml:space="preserve">Diageo trades at 13.5x EV/EBITDA and 19.2x forward P/E. The peer group (Pernod Ricard, Brown-Forman, Remy Cointreau, Campari, Constellation Brands) trades at a median of about 14.8x EV/EBITDA and 21.8x P/E. Applying the peer median EV/EBITDA to Diageo's FY2024 EBITDA of £5.4bn gives an implied EV of about £80bn. Adjusting for net debt and leases, the implied equity value is roughly £64bn, or about 2,870p per share.</w:t>
      </w:r>
    </w:p>
    <w:p>
      <w:pPr>
        <w:spacing w:after="120"/>
      </w:pPr>
      <w:r>
        <w:rPr>
          <w:rFonts w:ascii="Arial" w:cs="Arial" w:eastAsia="Arial" w:hAnsi="Arial"/>
          <w:sz w:val="22"/>
          <w:szCs w:val="22"/>
        </w:rPr>
        <w:t xml:space="preserve">Both the DCF and comps point to a fair value range of 2,600-2,900p. I set my target at 2,800p, which represents about 12% upside from today's 2,500p. That is a more modest upside than Tesco because Diageo's valuation is already richer on an absolute multiple basis, but the higher quality of the business (brand moats, pricing power, capital-light model) justifies the premium.</w:t>
      </w:r>
    </w:p>
    <w:p>
      <w:pPr>
        <w:pStyle w:val="Heading1"/>
      </w:pPr>
      <w:r>
        <w:rPr>
          <w:rFonts w:ascii="Arial" w:cs="Arial" w:eastAsia="Arial" w:hAnsi="Arial"/>
          <w:b/>
          <w:bCs/>
          <w:color w:val="1F4E79"/>
          <w:sz w:val="28"/>
          <w:szCs w:val="28"/>
        </w:rPr>
        <w:t xml:space="preserve">Key risks</w:t>
      </w:r>
    </w:p>
    <w:p>
      <w:pPr>
        <w:pStyle w:val="ListParagraph"/>
        <w:numPr>
          <w:ilvl w:val="0"/>
          <w:numId w:val="2"/>
        </w:numPr>
        <w:spacing w:after="80"/>
      </w:pPr>
      <w:r>
        <w:rPr>
          <w:rFonts w:ascii="Arial" w:cs="Arial" w:eastAsia="Arial" w:hAnsi="Arial"/>
          <w:sz w:val="20"/>
          <w:szCs w:val="20"/>
        </w:rPr>
        <w:t xml:space="preserve">US spirits consumption slowdown: North America is 40% of revenue and more than 40% of profit. If consumer spending weakens or the cultural shift away from spirits (particularly among younger demographics) accelerates, volumes could disappoint.</w:t>
      </w:r>
    </w:p>
    <w:p>
      <w:pPr>
        <w:pStyle w:val="ListParagraph"/>
        <w:numPr>
          <w:ilvl w:val="0"/>
          <w:numId w:val="2"/>
        </w:numPr>
        <w:spacing w:after="80"/>
      </w:pPr>
      <w:r>
        <w:rPr>
          <w:rFonts w:ascii="Arial" w:cs="Arial" w:eastAsia="Arial" w:hAnsi="Arial"/>
          <w:sz w:val="20"/>
          <w:szCs w:val="20"/>
        </w:rPr>
        <w:t xml:space="preserve">Inventory destocking: FY2024 showed how painful destocking can be. If another inventory correction hits, Diageo's results will look ugly for a quarter or two even if underlying demand is fine.</w:t>
      </w:r>
    </w:p>
    <w:p>
      <w:pPr>
        <w:pStyle w:val="ListParagraph"/>
        <w:numPr>
          <w:ilvl w:val="0"/>
          <w:numId w:val="2"/>
        </w:numPr>
        <w:spacing w:after="80"/>
      </w:pPr>
      <w:r>
        <w:rPr>
          <w:rFonts w:ascii="Arial" w:cs="Arial" w:eastAsia="Arial" w:hAnsi="Arial"/>
          <w:sz w:val="20"/>
          <w:szCs w:val="20"/>
        </w:rPr>
        <w:t xml:space="preserve">Leverage: Net debt at 2.7x EBITDA is at the top of the target range. If earnings disappoint while debt stays elevated, rating agencies could reassess the credit profile.</w:t>
      </w:r>
    </w:p>
    <w:p>
      <w:pPr>
        <w:pStyle w:val="ListParagraph"/>
        <w:numPr>
          <w:ilvl w:val="0"/>
          <w:numId w:val="2"/>
        </w:numPr>
        <w:spacing w:after="80"/>
      </w:pPr>
      <w:r>
        <w:rPr>
          <w:rFonts w:ascii="Arial" w:cs="Arial" w:eastAsia="Arial" w:hAnsi="Arial"/>
          <w:sz w:val="20"/>
          <w:szCs w:val="20"/>
        </w:rPr>
        <w:t xml:space="preserve">FX exposure: Diageo earns in 80+ currencies but reports in sterling. A sharp GBP appreciation would reduce reported earnings without any change in underlying business performance.</w:t>
      </w:r>
    </w:p>
    <w:p>
      <w:pPr>
        <w:pStyle w:val="ListParagraph"/>
        <w:numPr>
          <w:ilvl w:val="0"/>
          <w:numId w:val="2"/>
        </w:numPr>
        <w:spacing w:after="80"/>
      </w:pPr>
      <w:r>
        <w:rPr>
          <w:rFonts w:ascii="Arial" w:cs="Arial" w:eastAsia="Arial" w:hAnsi="Arial"/>
          <w:sz w:val="20"/>
          <w:szCs w:val="20"/>
        </w:rPr>
        <w:t xml:space="preserve">Regulation and taxation: Spirits face excise duties in most markets. Any increase in alcohol taxes, advertising restrictions, or minimum pricing rules could weigh on volumes and profitability.</w:t>
      </w:r>
    </w:p>
    <w:p>
      <w:pPr>
        <w:spacing w:after="80"/>
      </w:pPr>
    </w:p>
    <w:p>
      <w:pPr>
        <w:pStyle w:val="Heading1"/>
      </w:pPr>
      <w:r>
        <w:rPr>
          <w:rFonts w:ascii="Arial" w:cs="Arial" w:eastAsia="Arial" w:hAnsi="Arial"/>
          <w:b/>
          <w:bCs/>
          <w:color w:val="1F4E79"/>
          <w:sz w:val="28"/>
          <w:szCs w:val="28"/>
        </w:rPr>
        <w:t xml:space="preserve">Conclusion</w:t>
      </w:r>
    </w:p>
    <w:p>
      <w:pPr>
        <w:spacing w:after="120"/>
      </w:pPr>
      <w:r>
        <w:rPr>
          <w:rFonts w:ascii="Arial" w:cs="Arial" w:eastAsia="Arial" w:hAnsi="Arial"/>
          <w:sz w:val="22"/>
          <w:szCs w:val="22"/>
        </w:rPr>
        <w:t xml:space="preserve">Diageo is one of those businesses where the competitive position is genuinely hard to replicate. The brand portfolio took centuries to build and would be nearly impossible to assemble from scratch. FY2024 was a weak year, but the underlying franchise is intact, and I believe the destocking headwind is largely behind us. At 2,500p, the stock offers a reasonable entry point for a high-quality compounder with solid capital returns. I set a BUY rating with a 2,800p price target, representing about 12% upside.</w:t>
      </w:r>
    </w:p>
    <w:p>
      <w:pPr>
        <w:spacing w:after="80"/>
      </w:pPr>
    </w:p>
    <w:p>
      <w:pPr>
        <w:pBdr>
          <w:bottom w:val="single" w:color="2E75B6" w:sz="6" w:space="1"/>
        </w:pBdr>
      </w:pPr>
    </w:p>
    <w:p>
      <w:pPr>
        <w:spacing w:after="120"/>
      </w:pPr>
      <w:r>
        <w:rPr>
          <w:rFonts w:ascii="Arial" w:cs="Arial" w:eastAsia="Arial" w:hAnsi="Arial"/>
          <w:i/>
          <w:iCs/>
          <w:color w:val="888888"/>
          <w:sz w:val="18"/>
          <w:szCs w:val="18"/>
        </w:rPr>
        <w:t xml:space="preserve">This note was prepared by Zak Whatmough as part of an independent equity research project. All data sourced from Diageo PLC Annual Reports (FY2020-FY2024), Bloomberg, FactSet, and Damodaran. The accompanying Excel model contains full workings and is available on GitHub.</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Zak Whatmough | April 2025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i/>
        <w:iCs/>
        <w:color w:val="888888"/>
        <w:sz w:val="18"/>
        <w:szCs w:val="18"/>
      </w:rPr>
      <w:t xml:space="preserve">Diageo PLC (DGE LN)</w:t>
    </w:r>
    <w:r>
      <w:rPr>
        <w:rFonts w:ascii="Arial" w:cs="Arial" w:eastAsia="Arial" w:hAnsi="Arial"/>
        <w:i/>
        <w:iCs/>
        <w:color w:val="888888"/>
        <w:sz w:val="18"/>
        <w:szCs w:val="18"/>
      </w:rPr>
      <w:t xml:space="preserve">	Equity Research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28"/>
      <w:szCs w:val="28"/>
    </w:rPr>
  </w:style>
  <w:style w:type="paragraph" w:styleId="Heading2">
    <w:name w:val="Heading 2"/>
    <w:basedOn w:val="Normal"/>
    <w:next w:val="Normal"/>
    <w:qFormat/>
    <w:pPr>
      <w:spacing w:after="120" w:before="18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2026-04-05T14:33:59.408Z</dcterms:created>
  <dcterms:modified xsi:type="dcterms:W3CDTF">2026-04-05T14:33:59.409Z</dcterms:modified>
</cp:coreProperties>
</file>

<file path=docProps/custom.xml><?xml version="1.0" encoding="utf-8"?>
<Properties xmlns="http://schemas.openxmlformats.org/officeDocument/2006/custom-properties" xmlns:vt="http://schemas.openxmlformats.org/officeDocument/2006/docPropsVTypes"/>
</file>