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36"/>
          <w:szCs w:val="36"/>
        </w:rPr>
        <w:t xml:space="preserve">EQUITY RESEARCH</w:t>
      </w:r>
    </w:p>
    <w:p>
      <w:pPr>
        <w:spacing w:after="40"/>
      </w:pPr>
      <w:r>
        <w:rPr>
          <w:rFonts w:ascii="Arial" w:cs="Arial" w:eastAsia="Arial" w:hAnsi="Arial"/>
          <w:color w:val="2E75B6"/>
          <w:sz w:val="24"/>
          <w:szCs w:val="24"/>
        </w:rPr>
        <w:t xml:space="preserve">Tesco PLC  |  TSCO LN  |  Food &amp; Staples Retailing</w:t>
      </w:r>
    </w:p>
    <w:p>
      <w:pPr>
        <w:pBdr>
          <w:bottom w:val="single" w:color="2E75B6" w:sz="6" w:space="1"/>
        </w:pBdr>
      </w:pP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Rating</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Target Price</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Current Price</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Upside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BUY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310p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260p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+19%</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Market Cap</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EV/EBITDA (FY24)</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P/E (fwd)</w:t>
            </w:r>
          </w:p>
        </w:tc>
        <w:tc>
          <w:tcPr>
            <w:tcW w:type="dxa" w:w="234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Dividend Yield</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£18.7bn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4.6x</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12.5x</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4.7%</w:t>
            </w:r>
          </w:p>
        </w:tc>
      </w:tr>
    </w:tbl>
    <w:p>
      <w:pPr>
        <w:spacing w:after="120"/>
      </w:pPr>
    </w:p>
    <w:p>
      <w:pPr>
        <w:pStyle w:val="Heading1"/>
      </w:pPr>
      <w:r>
        <w:rPr>
          <w:rFonts w:ascii="Arial" w:cs="Arial" w:eastAsia="Arial" w:hAnsi="Arial"/>
          <w:b/>
          <w:bCs/>
          <w:color w:val="1F4E79"/>
          <w:sz w:val="28"/>
          <w:szCs w:val="28"/>
        </w:rPr>
        <w:t xml:space="preserve">Investment thesis</w:t>
      </w:r>
    </w:p>
    <w:p>
      <w:pPr>
        <w:spacing w:after="120"/>
      </w:pPr>
      <w:r>
        <w:rPr>
          <w:rFonts w:ascii="Arial" w:cs="Arial" w:eastAsia="Arial" w:hAnsi="Arial"/>
          <w:sz w:val="22"/>
          <w:szCs w:val="22"/>
        </w:rPr>
        <w:t xml:space="preserve">Tesco is the UK's largest grocer with roughly 27% market share, and it trades at a discount to European food retail peers on most metrics. The stock is at 260p as of April 2025. My DCF points to around 310p, which is about 19% above where it sits today. The comps analysis lands in a similar range.</w:t>
      </w:r>
    </w:p>
    <w:p>
      <w:pPr>
        <w:spacing w:after="120"/>
      </w:pPr>
      <w:r>
        <w:rPr>
          <w:rFonts w:ascii="Arial" w:cs="Arial" w:eastAsia="Arial" w:hAnsi="Arial"/>
          <w:sz w:val="22"/>
          <w:szCs w:val="22"/>
        </w:rPr>
        <w:t xml:space="preserve">Three things drive the thesis. First, revenue should keep growing at low single digits as Tesco takes share through its Clubcard loyalty scheme and online grocery business, both of which have been gaining traction since 2021. Second, operating margins have room to expand toward the 10% level management flagged at their 2023 Capital Markets Day, up from around 9.5% currently. Third, the balance sheet is in good shape after several years of deleveraging, and the company is returning cash aggressively through both dividends and buybacks.</w:t>
      </w:r>
    </w:p>
    <w:p>
      <w:pPr>
        <w:spacing w:after="120"/>
      </w:pPr>
      <w:r>
        <w:rPr>
          <w:rFonts w:ascii="Arial" w:cs="Arial" w:eastAsia="Arial" w:hAnsi="Arial"/>
          <w:sz w:val="22"/>
          <w:szCs w:val="22"/>
        </w:rPr>
        <w:t xml:space="preserve">The main risk is that competition in UK grocery stays intense. Aldi and Lidl continue to open stores, and any price war would compress margins. I address this in the risk section below.</w:t>
      </w:r>
    </w:p>
    <w:p>
      <w:pPr>
        <w:spacing w:after="40"/>
      </w:pPr>
    </w:p>
    <w:p>
      <w:pPr>
        <w:pStyle w:val="Heading1"/>
      </w:pPr>
      <w:r>
        <w:rPr>
          <w:rFonts w:ascii="Arial" w:cs="Arial" w:eastAsia="Arial" w:hAnsi="Arial"/>
          <w:b/>
          <w:bCs/>
          <w:color w:val="1F4E79"/>
          <w:sz w:val="28"/>
          <w:szCs w:val="28"/>
        </w:rPr>
        <w:t xml:space="preserve">Company overview</w:t>
      </w:r>
    </w:p>
    <w:p>
      <w:pPr>
        <w:spacing w:after="120"/>
      </w:pPr>
      <w:r>
        <w:rPr>
          <w:rFonts w:ascii="Arial" w:cs="Arial" w:eastAsia="Arial" w:hAnsi="Arial"/>
          <w:sz w:val="22"/>
          <w:szCs w:val="22"/>
        </w:rPr>
        <w:t xml:space="preserve">Tesco operates about 4,700 stores across the UK, Ireland, Czech Republic, Slovakia, and Hungary. The UK and Republic of Ireland segment accounts for roughly 90% of group revenue, with Central Europe making up the rest. The business also includes Tesco Bank (personal finance products) and a wholesale operation (Booker Group, acquired in 2018).</w:t>
      </w:r>
    </w:p>
    <w:p>
      <w:pPr>
        <w:spacing w:after="120"/>
      </w:pPr>
      <w:r>
        <w:rPr>
          <w:rFonts w:ascii="Arial" w:cs="Arial" w:eastAsia="Arial" w:hAnsi="Arial"/>
          <w:sz w:val="22"/>
          <w:szCs w:val="22"/>
        </w:rPr>
        <w:t xml:space="preserve">The company went through a difficult period between 2014 and 2017 after an accounting scandal and a failed international expansion. Since then, under CEO Ken Murphy (appointed 2020), the business has been simplified and refocused. Tesco sold its operations in Thailand, Malaysia, and Poland, paid down debt, and invested in pricing and digital. The Clubcard programme now has over 21 million active users in the UK, which gives Tesco useful data on shopping patterns and a tool for targeted promotions.</w:t>
      </w:r>
    </w:p>
    <w:p>
      <w:pPr>
        <w:spacing w:after="120"/>
      </w:pPr>
      <w:r>
        <w:rPr>
          <w:rFonts w:ascii="Arial" w:cs="Arial" w:eastAsia="Arial" w:hAnsi="Arial"/>
          <w:sz w:val="22"/>
          <w:szCs w:val="22"/>
        </w:rPr>
        <w:t xml:space="preserve">Online grocery grew rapidly during COVID and has stayed at a structurally higher level. Tesco's online sales were around 13% of UK food revenue in FY2024, served through a network of urban fulfilment centres and in-store picking.</w:t>
      </w:r>
    </w:p>
    <w:p>
      <w:r>
        <w:br w:type="page"/>
      </w:r>
    </w:p>
    <w:p>
      <w:pPr>
        <w:pStyle w:val="Heading1"/>
      </w:pPr>
      <w:r>
        <w:rPr>
          <w:rFonts w:ascii="Arial" w:cs="Arial" w:eastAsia="Arial" w:hAnsi="Arial"/>
          <w:b/>
          <w:bCs/>
          <w:color w:val="1F4E79"/>
          <w:sz w:val="28"/>
          <w:szCs w:val="28"/>
        </w:rPr>
        <w:t xml:space="preserve">Financial analysis</w:t>
      </w:r>
    </w:p>
    <w:p>
      <w:pPr>
        <w:pStyle w:val="Heading2"/>
      </w:pPr>
      <w:r>
        <w:rPr>
          <w:rFonts w:ascii="Arial" w:cs="Arial" w:eastAsia="Arial" w:hAnsi="Arial"/>
          <w:b/>
          <w:bCs/>
          <w:color w:val="2E75B6"/>
          <w:sz w:val="24"/>
          <w:szCs w:val="24"/>
        </w:rPr>
        <w:t xml:space="preserve">Revenue</w:t>
      </w:r>
    </w:p>
    <w:p>
      <w:pPr>
        <w:spacing w:after="120"/>
      </w:pPr>
      <w:r>
        <w:rPr>
          <w:rFonts w:ascii="Arial" w:cs="Arial" w:eastAsia="Arial" w:hAnsi="Arial"/>
          <w:sz w:val="22"/>
          <w:szCs w:val="22"/>
        </w:rPr>
        <w:t xml:space="preserve">Group revenue grew from £58.1bn in FY2020 to £68.2bn in FY2024, a compound annual growth rate of about 4.1%. A lot of this was inflation-driven (food CPI ran at 10-15% in 2022-23), but underlying volume trends were positive too. Tesco gained about 50bps of market share over this period according to Kantar data.</w:t>
      </w:r>
    </w:p>
    <w:p>
      <w:pPr>
        <w:spacing w:after="120"/>
      </w:pPr>
      <w:r>
        <w:rPr>
          <w:rFonts w:ascii="Arial" w:cs="Arial" w:eastAsia="Arial" w:hAnsi="Arial"/>
          <w:sz w:val="22"/>
          <w:szCs w:val="22"/>
        </w:rPr>
        <w:t xml:space="preserve">I forecast UK revenue growing at 3.0% in FY2025 and FY2026, slowing to 2.0% by FY2029 as food inflation normalises. Central Europe grows at 2.0-2.5%, which is conservative given those markets tend to run hotter than the UK. Total group revenue reaches about £75bn by FY2029 on my numbers.</w:t>
      </w:r>
    </w:p>
    <w:p>
      <w:pPr>
        <w:pStyle w:val="Heading2"/>
      </w:pPr>
      <w:r>
        <w:rPr>
          <w:rFonts w:ascii="Arial" w:cs="Arial" w:eastAsia="Arial" w:hAnsi="Arial"/>
          <w:b/>
          <w:bCs/>
          <w:color w:val="2E75B6"/>
          <w:sz w:val="24"/>
          <w:szCs w:val="24"/>
        </w:rPr>
        <w:t xml:space="preserve">Profitability</w:t>
      </w:r>
    </w:p>
    <w:p>
      <w:pPr>
        <w:spacing w:after="120"/>
      </w:pPr>
      <w:r>
        <w:rPr>
          <w:rFonts w:ascii="Arial" w:cs="Arial" w:eastAsia="Arial" w:hAnsi="Arial"/>
          <w:sz w:val="22"/>
          <w:szCs w:val="22"/>
        </w:rPr>
        <w:t xml:space="preserve">EBITDA margins improved from 9.2% in FY2020 to 9.5% in FY2024. Management has guided toward 10%+ medium term, which I think is achievable but not certain. My model assumes a gradual ramp from 9.6% in FY2025 to 9.8% in FY2029. That is below management's target, which I think is appropriate given the competitive environment.</w:t>
      </w:r>
    </w:p>
    <w:p>
      <w:pPr>
        <w:spacing w:after="120"/>
      </w:pPr>
      <w:r>
        <w:rPr>
          <w:rFonts w:ascii="Arial" w:cs="Arial" w:eastAsia="Arial" w:hAnsi="Arial"/>
          <w:sz w:val="22"/>
          <w:szCs w:val="22"/>
        </w:rPr>
        <w:t xml:space="preserve">Below EBITDA, depreciation runs at about £3.7-3.9bn per year, reflecting the large store estate and IFRS 16 right-of-use assets. EBIT margins are therefore lower, at around 3.5-4.0%. Net finance costs have been falling as Tesco pays down bonds, running at £710m in FY2024 versus £700m in FY2020 (the improvement is more visible excluding IFRS 16 lease interest).</w:t>
      </w:r>
    </w:p>
    <w:p>
      <w:pPr>
        <w:pStyle w:val="Heading2"/>
      </w:pPr>
      <w:r>
        <w:rPr>
          <w:rFonts w:ascii="Arial" w:cs="Arial" w:eastAsia="Arial" w:hAnsi="Arial"/>
          <w:b/>
          <w:bCs/>
          <w:color w:val="2E75B6"/>
          <w:sz w:val="24"/>
          <w:szCs w:val="24"/>
        </w:rPr>
        <w:t xml:space="preserve">Capital allocation</w:t>
      </w:r>
    </w:p>
    <w:p>
      <w:pPr>
        <w:spacing w:after="120"/>
      </w:pPr>
      <w:r>
        <w:rPr>
          <w:rFonts w:ascii="Arial" w:cs="Arial" w:eastAsia="Arial" w:hAnsi="Arial"/>
          <w:sz w:val="22"/>
          <w:szCs w:val="22"/>
        </w:rPr>
        <w:t xml:space="preserve">Tesco generates significant free cash flow. Unlevered FCF was about £4.3bn in FY2024. After debt service, the company still has ample room for shareholder returns. Management has been running a buyback programme (£1bn in FY2024, £750m guided for FY2025) alongside a progressive dividend (DPS grew from 5.5p in FY2020 to 12.1p in FY2024). Total capital returns to shareholders were £1.9bn in FY2024.</w:t>
      </w:r>
    </w:p>
    <w:p>
      <w:pPr>
        <w:spacing w:after="120"/>
      </w:pPr>
      <w:r>
        <w:rPr>
          <w:rFonts w:ascii="Arial" w:cs="Arial" w:eastAsia="Arial" w:hAnsi="Arial"/>
          <w:sz w:val="22"/>
          <w:szCs w:val="22"/>
        </w:rPr>
        <w:t xml:space="preserve">Net debt (excluding IFRS 16 leases) was about £1.9bn at FY2024, which is 0.3x EBITDA. Including leases it is higher at around 1.3x, but that is comfortable for a grocery business with predictable cash flows.</w:t>
      </w:r>
    </w:p>
    <w:p>
      <w:r>
        <w:br w:type="page"/>
      </w:r>
    </w:p>
    <w:p>
      <w:pPr>
        <w:pStyle w:val="Heading1"/>
      </w:pPr>
      <w:r>
        <w:rPr>
          <w:rFonts w:ascii="Arial" w:cs="Arial" w:eastAsia="Arial" w:hAnsi="Arial"/>
          <w:b/>
          <w:bCs/>
          <w:color w:val="1F4E79"/>
          <w:sz w:val="28"/>
          <w:szCs w:val="28"/>
        </w:rPr>
        <w:t xml:space="preserve">Valuation</w:t>
      </w:r>
    </w:p>
    <w:p>
      <w:pPr>
        <w:pStyle w:val="Heading2"/>
      </w:pPr>
      <w:r>
        <w:rPr>
          <w:rFonts w:ascii="Arial" w:cs="Arial" w:eastAsia="Arial" w:hAnsi="Arial"/>
          <w:b/>
          <w:bCs/>
          <w:color w:val="2E75B6"/>
          <w:sz w:val="24"/>
          <w:szCs w:val="24"/>
        </w:rPr>
        <w:t xml:space="preserve">DCF</w:t>
      </w:r>
    </w:p>
    <w:p>
      <w:pPr>
        <w:spacing w:after="120"/>
      </w:pPr>
      <w:r>
        <w:rPr>
          <w:rFonts w:ascii="Arial" w:cs="Arial" w:eastAsia="Arial" w:hAnsi="Arial"/>
          <w:sz w:val="22"/>
          <w:szCs w:val="22"/>
        </w:rPr>
        <w:t xml:space="preserve">I built a five year DCF using a WACC of 6.6% (derived from CAPM: risk-free rate 4.2%, beta 0.65, equity risk premium 5.5%, with a 35% debt weighting at a post-tax cost of debt of 3.75%). Terminal growth is 2.0%, which is roughly in line with long run UK nominal GDP.</w:t>
      </w:r>
    </w:p>
    <w:p>
      <w:pPr>
        <w:spacing w:after="120"/>
      </w:pPr>
      <w:r>
        <w:rPr>
          <w:rFonts w:ascii="Arial" w:cs="Arial" w:eastAsia="Arial" w:hAnsi="Arial"/>
          <w:sz w:val="22"/>
          <w:szCs w:val="22"/>
        </w:rPr>
        <w:t xml:space="preserve">The DCF gives an enterprise value of around £33bn. Subtracting net debt of £4.7bn (bonds) and £11.1bn (lease liabilities), then adding back £2.8bn of cash, I get an equity value of approximately £20bn, or about 280p per share on 7,200m diluted shares. The sensitivity table in the Excel model shows a range of roughly 220-340p depending on WACC and terminal growth assumptions.</w:t>
      </w:r>
    </w:p>
    <w:p>
      <w:pPr>
        <w:pStyle w:val="Heading2"/>
      </w:pPr>
      <w:r>
        <w:rPr>
          <w:rFonts w:ascii="Arial" w:cs="Arial" w:eastAsia="Arial" w:hAnsi="Arial"/>
          <w:b/>
          <w:bCs/>
          <w:color w:val="2E75B6"/>
          <w:sz w:val="24"/>
          <w:szCs w:val="24"/>
        </w:rPr>
        <w:t xml:space="preserve">Trading comparables</w:t>
      </w:r>
    </w:p>
    <w:p>
      <w:pPr>
        <w:spacing w:after="120"/>
      </w:pPr>
      <w:r>
        <w:rPr>
          <w:rFonts w:ascii="Arial" w:cs="Arial" w:eastAsia="Arial" w:hAnsi="Arial"/>
          <w:sz w:val="22"/>
          <w:szCs w:val="22"/>
        </w:rPr>
        <w:t xml:space="preserve">Tesco trades at 4.6x EV/EBITDA and 12.5x forward P/E. The peer group (Sainsbury's, M&amp;S, Ahold Delhaize, Carrefour) trades at a median of about 5.25x EV/EBITDA and 11.6x P/E. Applying the peer median EV/EBITDA of 5.25x to Tesco's FY2024 EBITDA of £6.5bn and adjusting for net debt and leases, the implied equity value is about £20-22bn, or roughly 280-310p per share.</w:t>
      </w:r>
    </w:p>
    <w:p>
      <w:pPr>
        <w:spacing w:after="120"/>
      </w:pPr>
      <w:r>
        <w:rPr>
          <w:rFonts w:ascii="Arial" w:cs="Arial" w:eastAsia="Arial" w:hAnsi="Arial"/>
          <w:sz w:val="22"/>
          <w:szCs w:val="22"/>
        </w:rPr>
        <w:t xml:space="preserve">Both approaches converge around 280-310p, which supports a BUY rating with a 310p target.</w:t>
      </w:r>
    </w:p>
    <w:p>
      <w:pPr>
        <w:pStyle w:val="Heading1"/>
      </w:pPr>
      <w:r>
        <w:rPr>
          <w:rFonts w:ascii="Arial" w:cs="Arial" w:eastAsia="Arial" w:hAnsi="Arial"/>
          <w:b/>
          <w:bCs/>
          <w:color w:val="1F4E79"/>
          <w:sz w:val="28"/>
          <w:szCs w:val="28"/>
        </w:rPr>
        <w:t xml:space="preserve">Key risks</w:t>
      </w:r>
    </w:p>
    <w:p>
      <w:pPr>
        <w:pStyle w:val="ListParagraph"/>
        <w:numPr>
          <w:ilvl w:val="0"/>
          <w:numId w:val="2"/>
        </w:numPr>
        <w:spacing w:after="80"/>
      </w:pPr>
      <w:r>
        <w:rPr>
          <w:rFonts w:ascii="Arial" w:cs="Arial" w:eastAsia="Arial" w:hAnsi="Arial"/>
          <w:sz w:val="20"/>
          <w:szCs w:val="20"/>
        </w:rPr>
        <w:t xml:space="preserve">Grocery price war: Aldi and Lidl are still expanding in the UK. If the discounters trigger a sustained price war, Tesco's margin expansion could stall or reverse. This is the most likely downside scenario.</w:t>
      </w:r>
    </w:p>
    <w:p>
      <w:pPr>
        <w:pStyle w:val="ListParagraph"/>
        <w:numPr>
          <w:ilvl w:val="0"/>
          <w:numId w:val="2"/>
        </w:numPr>
        <w:spacing w:after="80"/>
      </w:pPr>
      <w:r>
        <w:rPr>
          <w:rFonts w:ascii="Arial" w:cs="Arial" w:eastAsia="Arial" w:hAnsi="Arial"/>
          <w:sz w:val="20"/>
          <w:szCs w:val="20"/>
        </w:rPr>
        <w:t xml:space="preserve">Inflation reversal: If food deflation takes hold, top line growth would slow and Tesco would need to find cost savings to protect margins.</w:t>
      </w:r>
    </w:p>
    <w:p>
      <w:pPr>
        <w:pStyle w:val="ListParagraph"/>
        <w:numPr>
          <w:ilvl w:val="0"/>
          <w:numId w:val="2"/>
        </w:numPr>
        <w:spacing w:after="80"/>
      </w:pPr>
      <w:r>
        <w:rPr>
          <w:rFonts w:ascii="Arial" w:cs="Arial" w:eastAsia="Arial" w:hAnsi="Arial"/>
          <w:sz w:val="20"/>
          <w:szCs w:val="20"/>
        </w:rPr>
        <w:t xml:space="preserve">IFRS 16 and leverage: The lease liabilities are large (£11bn+). A change in lease accounting rules or a sharp rise in interest rates could increase reported leverage.</w:t>
      </w:r>
    </w:p>
    <w:p>
      <w:pPr>
        <w:pStyle w:val="ListParagraph"/>
        <w:numPr>
          <w:ilvl w:val="0"/>
          <w:numId w:val="2"/>
        </w:numPr>
        <w:spacing w:after="80"/>
      </w:pPr>
      <w:r>
        <w:rPr>
          <w:rFonts w:ascii="Arial" w:cs="Arial" w:eastAsia="Arial" w:hAnsi="Arial"/>
          <w:sz w:val="20"/>
          <w:szCs w:val="20"/>
        </w:rPr>
        <w:t xml:space="preserve">Regulatory: The Competition and Markets Authority could scrutinise supplier practices or Clubcard pricing strategies, particularly if political pressure around food prices intensifies.</w:t>
      </w:r>
    </w:p>
    <w:p>
      <w:pPr>
        <w:spacing w:after="80"/>
      </w:pPr>
    </w:p>
    <w:p>
      <w:pPr>
        <w:pStyle w:val="Heading1"/>
      </w:pPr>
      <w:r>
        <w:rPr>
          <w:rFonts w:ascii="Arial" w:cs="Arial" w:eastAsia="Arial" w:hAnsi="Arial"/>
          <w:b/>
          <w:bCs/>
          <w:color w:val="1F4E79"/>
          <w:sz w:val="28"/>
          <w:szCs w:val="28"/>
        </w:rPr>
        <w:t xml:space="preserve">Conclusion</w:t>
      </w:r>
    </w:p>
    <w:p>
      <w:pPr>
        <w:spacing w:after="120"/>
      </w:pPr>
      <w:r>
        <w:rPr>
          <w:rFonts w:ascii="Arial" w:cs="Arial" w:eastAsia="Arial" w:hAnsi="Arial"/>
          <w:sz w:val="22"/>
          <w:szCs w:val="22"/>
        </w:rPr>
        <w:t xml:space="preserve">Tesco is a well-run business with a dominant market position, improving profitability, and a management team that has been disciplined about capital allocation. The stock trades at a discount to peers and my DCF suggests meaningful upside from current levels. I set a BUY rating with a 310p price target, representing roughly 19% upside from the current 260p.</w:t>
      </w:r>
    </w:p>
    <w:p>
      <w:pPr>
        <w:spacing w:after="80"/>
      </w:pPr>
    </w:p>
    <w:p>
      <w:pPr>
        <w:pBdr>
          <w:bottom w:val="single" w:color="2E75B6" w:sz="6" w:space="1"/>
        </w:pBdr>
      </w:pPr>
    </w:p>
    <w:p>
      <w:pPr>
        <w:spacing w:after="120"/>
      </w:pPr>
      <w:r>
        <w:rPr>
          <w:rFonts w:ascii="Arial" w:cs="Arial" w:eastAsia="Arial" w:hAnsi="Arial"/>
          <w:i/>
          <w:iCs/>
          <w:color w:val="888888"/>
          <w:sz w:val="18"/>
          <w:szCs w:val="18"/>
        </w:rPr>
        <w:t xml:space="preserve">This note was prepared by Zak Whatmough as part of an independent equity research project. All data sourced from Tesco PLC Annual Reports (FY2020-FY2024), Bloomberg, FactSet, and Damodaran. The accompanying Excel model contains full workings and is available on GitHub.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Zak Whatmough | April 2025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i/>
        <w:iCs/>
        <w:color w:val="888888"/>
        <w:sz w:val="18"/>
        <w:szCs w:val="18"/>
      </w:rPr>
      <w:t xml:space="preserve">Tesco PLC (TSCO LN)</w:t>
    </w:r>
    <w:r>
      <w:rPr>
        <w:rFonts w:ascii="Arial" w:cs="Arial" w:eastAsia="Arial" w:hAnsi="Arial"/>
        <w:i/>
        <w:iCs/>
        <w:color w:val="888888"/>
        <w:sz w:val="18"/>
        <w:szCs w:val="18"/>
      </w:rPr>
      <w:t xml:space="preserve">	Equity Research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28"/>
      <w:szCs w:val="28"/>
    </w:rPr>
  </w:style>
  <w:style w:type="paragraph" w:styleId="Heading2">
    <w:name w:val="Heading 2"/>
    <w:basedOn w:val="Normal"/>
    <w:next w:val="Normal"/>
    <w:qFormat/>
    <w:pPr>
      <w:spacing w:after="12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2026-04-05T14:12:33.072Z</dcterms:created>
  <dcterms:modified xsi:type="dcterms:W3CDTF">2026-04-05T14:12:33.072Z</dcterms:modified>
</cp:coreProperties>
</file>

<file path=docProps/custom.xml><?xml version="1.0" encoding="utf-8"?>
<Properties xmlns="http://schemas.openxmlformats.org/officeDocument/2006/custom-properties" xmlns:vt="http://schemas.openxmlformats.org/officeDocument/2006/docPropsVTypes"/>
</file>