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80" w:after="120"/>
      </w:pPr>
      <w:r>
        <w:rPr>
          <w:b/>
          <w:sz w:val="28"/>
          <w:szCs w:val="28"/>
        </w:rPr>
        <w:t xml:space="preserve">Audit Risk Review - easyJet plc FY2025</w:t>
      </w:r>
    </w:p>
    <w:p>
      <w:pPr>
        <w:spacing w:before="0" w:after="40"/>
      </w:pPr>
      <w:r>
        <w:rPr>
          <w:i/>
          <w:sz w:val="18"/>
          <w:szCs w:val="18"/>
        </w:rPr>
        <w:t xml:space="preserve">Planning-style portfolio project for graduate roles in audit, accounting advisory, and transaction services.</w:t>
      </w:r>
    </w:p>
    <w:p>
      <w:pPr>
        <w:spacing w:before="0" w:after="120"/>
      </w:pPr>
      <w:r>
        <w:rPr>
          <w:i/>
          <w:sz w:val="18"/>
          <w:szCs w:val="18"/>
        </w:rPr>
        <w:t xml:space="preserve">Based on easyJet plc Annual Report and Accounts 2025 and published FY2025 disclosures.</w:t>
      </w:r>
    </w:p>
    <w:p>
      <w:pPr>
        <w:spacing w:before="160" w:after="80"/>
      </w:pPr>
      <w:r>
        <w:rPr>
          <w:b/>
          <w:sz w:val="24"/>
          <w:szCs w:val="24"/>
        </w:rPr>
        <w:t xml:space="preserve">1. Executive Summary</w:t>
      </w:r>
    </w:p>
    <w:p>
      <w:pPr>
        <w:spacing w:before="80" w:after="80"/>
      </w:pPr>
      <w:r>
        <w:rPr>
          <w:sz w:val="19"/>
          <w:szCs w:val="19"/>
        </w:rPr>
        <w:t xml:space="preserve">- easyJet's revenue cycle is cash-before-service. Customers usually pay at booking, while revenue is recognised later when the flight takes place or, for easyJet holidays non-flight elements, over the holiday period. For planning, that means revenue risk is really a combined income statement and balance-sheet workstream.</w:t>
      </w:r>
    </w:p>
    <w:p>
      <w:pPr>
        <w:spacing w:before="80" w:after="80"/>
      </w:pPr>
      <w:r>
        <w:rPr>
          <w:sz w:val="19"/>
          <w:szCs w:val="19"/>
        </w:rPr>
        <w:t xml:space="preserve">- At 30 September 2025, easyJet reported GBP1.95bn of unearned revenue and GBP19m of other customer contract liabilities. The revenue workstream should therefore be planned jointly with IT audit and data analytics rather than treated as a standard substantive-only area.</w:t>
      </w:r>
    </w:p>
    <w:p>
      <w:pPr>
        <w:spacing w:before="80" w:after="80"/>
      </w:pPr>
      <w:r>
        <w:rPr>
          <w:sz w:val="19"/>
          <w:szCs w:val="19"/>
        </w:rPr>
        <w:t xml:space="preserve">- The three issues most likely to drive senior attention are: (1) revenue and customer liabilities, because IFRS 15 is applied across multiple triggers and a high-volume booking platform; (2) the leased aircraft maintenance provision, because the estimate is large and judgement heavy; and (3) asset carrying value and going concern, because the airline remains commercially exposed to yield, fuel, FX, disruption and capacity assumptions.</w:t>
      </w:r>
    </w:p>
    <w:p>
      <w:pPr>
        <w:spacing w:before="160" w:after="80"/>
      </w:pPr>
      <w:r>
        <w:rPr>
          <w:b/>
          <w:sz w:val="24"/>
          <w:szCs w:val="24"/>
        </w:rPr>
        <w:t xml:space="preserve">2. Key Audit Risks</w:t>
      </w:r>
    </w:p>
    <w:tbl>
      <w:tblPr>
        <w:tblW w:w="0" w:type="auto"/>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Pr>
      <w:tr>
        <w:tc>
          <w:tcPr>
            <w:tcW w:w="1400" w:type="dxa"/>
          </w:tcPr>
          <w:p>
            <w:pPr>
              <w:spacing w:before="40" w:after="40"/>
            </w:pPr>
            <w:r>
              <w:rPr>
                <w:b/>
                <w:sz w:val="18"/>
                <w:szCs w:val="18"/>
              </w:rPr>
              <w:t xml:space="preserve">Risk area</w:t>
            </w:r>
          </w:p>
        </w:tc>
        <w:tc>
          <w:tcPr>
            <w:tcW w:w="2600" w:type="dxa"/>
          </w:tcPr>
          <w:p>
            <w:pPr>
              <w:spacing w:before="40" w:after="40"/>
            </w:pPr>
            <w:r>
              <w:rPr>
                <w:b/>
                <w:sz w:val="18"/>
                <w:szCs w:val="18"/>
              </w:rPr>
              <w:t xml:space="preserve">Why the team would care</w:t>
            </w:r>
          </w:p>
        </w:tc>
        <w:tc>
          <w:tcPr>
            <w:tcW w:w="1600" w:type="dxa"/>
          </w:tcPr>
          <w:p>
            <w:pPr>
              <w:spacing w:before="40" w:after="40"/>
            </w:pPr>
            <w:r>
              <w:rPr>
                <w:b/>
                <w:sz w:val="18"/>
                <w:szCs w:val="18"/>
              </w:rPr>
              <w:t xml:space="preserve">Assertion / audit angle</w:t>
            </w:r>
          </w:p>
        </w:tc>
        <w:tc>
          <w:tcPr>
            <w:tcW w:w="2500" w:type="dxa"/>
          </w:tcPr>
          <w:p>
            <w:pPr>
              <w:spacing w:before="40" w:after="40"/>
            </w:pPr>
            <w:r>
              <w:rPr>
                <w:b/>
                <w:sz w:val="18"/>
                <w:szCs w:val="18"/>
              </w:rPr>
              <w:t xml:space="preserve">What could break</w:t>
            </w:r>
          </w:p>
        </w:tc>
        <w:tc>
          <w:tcPr>
            <w:tcW w:w="2900" w:type="dxa"/>
          </w:tcPr>
          <w:p>
            <w:pPr>
              <w:spacing w:before="40" w:after="40"/>
            </w:pPr>
            <w:r>
              <w:rPr>
                <w:b/>
                <w:sz w:val="18"/>
                <w:szCs w:val="18"/>
              </w:rPr>
              <w:t xml:space="preserve">Planning response</w:t>
            </w:r>
          </w:p>
        </w:tc>
      </w:tr>
      <w:tr>
        <w:tc>
          <w:tcPr>
            <w:tcW w:w="1400" w:type="dxa"/>
          </w:tcPr>
          <w:p>
            <w:pPr>
              <w:spacing w:before="40" w:after="40"/>
            </w:pPr>
            <w:r>
              <w:rPr>
                <w:sz w:val="17"/>
                <w:szCs w:val="17"/>
              </w:rPr>
              <w:t xml:space="preserve">Revenue and customer contract liabilities</w:t>
            </w:r>
          </w:p>
        </w:tc>
        <w:tc>
          <w:tcPr>
            <w:tcW w:w="2600" w:type="dxa"/>
          </w:tcPr>
          <w:p>
            <w:pPr>
              <w:spacing w:before="40" w:after="40"/>
            </w:pPr>
            <w:r>
              <w:rPr>
                <w:sz w:val="17"/>
                <w:szCs w:val="17"/>
              </w:rPr>
              <w:t xml:space="preserve">IFRS 15 is applied across different triggers: passenger seats and most ancillaries at flown date, cancellation fees when processed, easyJet Plus over membership term, partner commissions net as agent, and Holidays non-flight elements over the stay. The balance sheet closed with GBP1.95bn of unearned revenue and GBP19m of other customer contract liabilities.</w:t>
            </w:r>
          </w:p>
        </w:tc>
        <w:tc>
          <w:tcPr>
            <w:tcW w:w="1600" w:type="dxa"/>
          </w:tcPr>
          <w:p>
            <w:pPr>
              <w:spacing w:before="40" w:after="40"/>
            </w:pPr>
            <w:r>
              <w:rPr>
                <w:sz w:val="17"/>
                <w:szCs w:val="17"/>
              </w:rPr>
              <w:t xml:space="preserve">Cut-off, completeness, accuracy, valuation and presentation; presumed fraud risk around revenue timing.</w:t>
            </w:r>
          </w:p>
        </w:tc>
        <w:tc>
          <w:tcPr>
            <w:tcW w:w="2500" w:type="dxa"/>
          </w:tcPr>
          <w:p>
            <w:pPr>
              <w:spacing w:before="40" w:after="40"/>
            </w:pPr>
            <w:r>
              <w:rPr>
                <w:sz w:val="17"/>
                <w:szCs w:val="17"/>
              </w:rPr>
              <w:t xml:space="preserve">Unearned revenue may be released too early or too late; cancelled flights may stay in unearned revenue instead of moving to refund or voucher liabilities; breakage may be recognised too aggressively; partner revenue may be grossed up incorrectly; Holidays revenue may be recognised at departure rather than over the holiday.</w:t>
            </w:r>
          </w:p>
        </w:tc>
        <w:tc>
          <w:tcPr>
            <w:tcW w:w="2900" w:type="dxa"/>
          </w:tcPr>
          <w:p>
            <w:pPr>
              <w:spacing w:before="40" w:after="40"/>
            </w:pPr>
            <w:r>
              <w:rPr>
                <w:sz w:val="17"/>
                <w:szCs w:val="17"/>
              </w:rPr>
              <w:t xml:space="preserve">Walk through booking, flown, cancellation and voucher flows; test key automated rules; reperform the contract-liability roll-forward; select flights and holidays spanning 30 September; inspect partner and insurance contracts for principal-agent; challenge breakage and compensation assumptions using post year-end data and disruption trends.</w:t>
            </w:r>
          </w:p>
        </w:tc>
      </w:tr>
      <w:tr>
        <w:tc>
          <w:tcPr>
            <w:tcW w:w="1400" w:type="dxa"/>
          </w:tcPr>
          <w:p>
            <w:pPr>
              <w:spacing w:before="40" w:after="40"/>
            </w:pPr>
            <w:r>
              <w:rPr>
                <w:sz w:val="17"/>
                <w:szCs w:val="17"/>
              </w:rPr>
              <w:t xml:space="preserve">Leased aircraft maintenance provision</w:t>
            </w:r>
          </w:p>
        </w:tc>
        <w:tc>
          <w:tcPr>
            <w:tcW w:w="2600" w:type="dxa"/>
          </w:tcPr>
          <w:p>
            <w:pPr>
              <w:spacing w:before="40" w:after="40"/>
            </w:pPr>
            <w:r>
              <w:rPr>
                <w:sz w:val="17"/>
                <w:szCs w:val="17"/>
              </w:rPr>
              <w:t xml:space="preserve">PwC treated this as the FY25 Group key audit matter. The year-end provision of GBP939m is sensitive to utilisation, contract terms, uncontracted maintenance costs, inflation, discount rates and USD exposure.</w:t>
            </w:r>
          </w:p>
        </w:tc>
        <w:tc>
          <w:tcPr>
            <w:tcW w:w="1600" w:type="dxa"/>
          </w:tcPr>
          <w:p>
            <w:pPr>
              <w:spacing w:before="40" w:after="40"/>
            </w:pPr>
            <w:r>
              <w:rPr>
                <w:sz w:val="17"/>
                <w:szCs w:val="17"/>
              </w:rPr>
              <w:t xml:space="preserve">Valuation, completeness, accuracy.</w:t>
            </w:r>
          </w:p>
        </w:tc>
        <w:tc>
          <w:tcPr>
            <w:tcW w:w="2500" w:type="dxa"/>
          </w:tcPr>
          <w:p>
            <w:pPr>
              <w:spacing w:before="40" w:after="40"/>
            </w:pPr>
            <w:r>
              <w:rPr>
                <w:sz w:val="17"/>
                <w:szCs w:val="17"/>
              </w:rPr>
              <w:t xml:space="preserve">The provision could be understated if assumptions on heavy-maintenance timing, escalation or lease-return outcomes are too optimistic. Current versus non-current classification can also move materially.</w:t>
            </w:r>
          </w:p>
        </w:tc>
        <w:tc>
          <w:tcPr>
            <w:tcW w:w="2900" w:type="dxa"/>
          </w:tcPr>
          <w:p>
            <w:pPr>
              <w:spacing w:before="40" w:after="40"/>
            </w:pPr>
            <w:r>
              <w:rPr>
                <w:sz w:val="17"/>
                <w:szCs w:val="17"/>
              </w:rPr>
              <w:t xml:space="preserve">Obtain the model early; map major leased-aircraft populations; test flying hours and cycles to engineering records; compare cost assumptions to recent shop visits and third-party contracts; review lease terms for restoration versus penalty outcomes; challenge discounting and sensitivity analysis.</w:t>
            </w:r>
          </w:p>
        </w:tc>
      </w:tr>
      <w:tr>
        <w:tc>
          <w:tcPr>
            <w:tcW w:w="1400" w:type="dxa"/>
          </w:tcPr>
          <w:p>
            <w:pPr>
              <w:spacing w:before="40" w:after="40"/>
            </w:pPr>
            <w:r>
              <w:rPr>
                <w:sz w:val="17"/>
                <w:szCs w:val="17"/>
              </w:rPr>
              <w:t xml:space="preserve">Customer claims, cancellations, ETS and other judgemental accruals</w:t>
            </w:r>
          </w:p>
        </w:tc>
        <w:tc>
          <w:tcPr>
            <w:tcW w:w="2600" w:type="dxa"/>
          </w:tcPr>
          <w:p>
            <w:pPr>
              <w:spacing w:before="40" w:after="40"/>
            </w:pPr>
            <w:r>
              <w:rPr>
                <w:sz w:val="17"/>
                <w:szCs w:val="17"/>
              </w:rPr>
              <w:t xml:space="preserve">The Audit Committee highlighted customer claims, disruption-related liabilities, ETS obligations and legal exposures. These balances can change quickly when operational disruption rises.</w:t>
            </w:r>
          </w:p>
        </w:tc>
        <w:tc>
          <w:tcPr>
            <w:tcW w:w="1600" w:type="dxa"/>
          </w:tcPr>
          <w:p>
            <w:pPr>
              <w:spacing w:before="40" w:after="40"/>
            </w:pPr>
            <w:r>
              <w:rPr>
                <w:sz w:val="17"/>
                <w:szCs w:val="17"/>
              </w:rPr>
              <w:t xml:space="preserve">Completeness, valuation, cut-off, presentation.</w:t>
            </w:r>
          </w:p>
        </w:tc>
        <w:tc>
          <w:tcPr>
            <w:tcW w:w="2500" w:type="dxa"/>
          </w:tcPr>
          <w:p>
            <w:pPr>
              <w:spacing w:before="40" w:after="40"/>
            </w:pPr>
            <w:r>
              <w:rPr>
                <w:sz w:val="17"/>
                <w:szCs w:val="17"/>
              </w:rPr>
              <w:t xml:space="preserve">Compensation, refunds, vouchers, ETS accruals or litigation provisions may be incomplete or based on stale assumptions. Operational events may not be reflected consistently across accruals, payables and disclosures.</w:t>
            </w:r>
          </w:p>
        </w:tc>
        <w:tc>
          <w:tcPr>
            <w:tcW w:w="2900" w:type="dxa"/>
          </w:tcPr>
          <w:p>
            <w:pPr>
              <w:spacing w:before="40" w:after="40"/>
            </w:pPr>
            <w:r>
              <w:rPr>
                <w:sz w:val="17"/>
                <w:szCs w:val="17"/>
              </w:rPr>
              <w:t xml:space="preserve">Use disruption and cancellation data to challenge accrual completeness; test post year-end settlements; inspect legal and claims correspondence; recalculate ETS accruals to emissions and allowance data; assess whether the same operational events have been captured consistently across all affected balances.</w:t>
            </w:r>
          </w:p>
        </w:tc>
      </w:tr>
      <w:tr>
        <w:tc>
          <w:tcPr>
            <w:tcW w:w="1400" w:type="dxa"/>
          </w:tcPr>
          <w:p>
            <w:pPr>
              <w:spacing w:before="40" w:after="40"/>
            </w:pPr>
            <w:r>
              <w:rPr>
                <w:sz w:val="17"/>
                <w:szCs w:val="17"/>
              </w:rPr>
              <w:t xml:space="preserve">Carrying value of Airline assets</w:t>
            </w:r>
          </w:p>
        </w:tc>
        <w:tc>
          <w:tcPr>
            <w:tcW w:w="2600" w:type="dxa"/>
          </w:tcPr>
          <w:p>
            <w:pPr>
              <w:spacing w:before="40" w:after="40"/>
            </w:pPr>
            <w:r>
              <w:rPr>
                <w:sz w:val="17"/>
                <w:szCs w:val="17"/>
              </w:rPr>
              <w:t xml:space="preserve">Goodwill of GBP387m, landing rights of GBP155m and the wider Airline asset base depend on value-in-use assumptions in a commercially sensitive industry exposed to yields, fuel, FX, carbon and capacity.</w:t>
            </w:r>
          </w:p>
        </w:tc>
        <w:tc>
          <w:tcPr>
            <w:tcW w:w="1600" w:type="dxa"/>
          </w:tcPr>
          <w:p>
            <w:pPr>
              <w:spacing w:before="40" w:after="40"/>
            </w:pPr>
            <w:r>
              <w:rPr>
                <w:sz w:val="17"/>
                <w:szCs w:val="17"/>
              </w:rPr>
              <w:t xml:space="preserve">Valuation and disclosure.</w:t>
            </w:r>
          </w:p>
        </w:tc>
        <w:tc>
          <w:tcPr>
            <w:tcW w:w="2500" w:type="dxa"/>
          </w:tcPr>
          <w:p>
            <w:pPr>
              <w:spacing w:before="40" w:after="40"/>
            </w:pPr>
            <w:r>
              <w:rPr>
                <w:sz w:val="17"/>
                <w:szCs w:val="17"/>
              </w:rPr>
              <w:t xml:space="preserve">Management may rely on optimistic assumptions for route profitability, yields, cost pass-through or capacity growth, and downside scenarios may not be severe enough for a cyclical airline.</w:t>
            </w:r>
          </w:p>
        </w:tc>
        <w:tc>
          <w:tcPr>
            <w:tcW w:w="2900" w:type="dxa"/>
          </w:tcPr>
          <w:p>
            <w:pPr>
              <w:spacing w:before="40" w:after="40"/>
            </w:pPr>
            <w:r>
              <w:rPr>
                <w:sz w:val="17"/>
                <w:szCs w:val="17"/>
              </w:rPr>
              <w:t xml:space="preserve">Tie the model to Board-approved plans; compare revenue, yield and capacity assumptions to external market evidence and internal trading; involve valuation support on WACC; challenge whether carbon, ETS and SAF costs are reflected consistently; focus on downside scenarios that genuinely erode headroom.</w:t>
            </w:r>
          </w:p>
        </w:tc>
      </w:tr>
      <w:tr>
        <w:tc>
          <w:tcPr>
            <w:tcW w:w="1400" w:type="dxa"/>
          </w:tcPr>
          <w:p>
            <w:pPr>
              <w:spacing w:before="40" w:after="40"/>
            </w:pPr>
            <w:r>
              <w:rPr>
                <w:sz w:val="17"/>
                <w:szCs w:val="17"/>
              </w:rPr>
              <w:t xml:space="preserve">Going concern and liquidity planning</w:t>
            </w:r>
          </w:p>
        </w:tc>
        <w:tc>
          <w:tcPr>
            <w:tcW w:w="2600" w:type="dxa"/>
          </w:tcPr>
          <w:p>
            <w:pPr>
              <w:spacing w:before="40" w:after="40"/>
            </w:pPr>
            <w:r>
              <w:rPr>
                <w:sz w:val="17"/>
                <w:szCs w:val="17"/>
              </w:rPr>
              <w:t xml:space="preserve">Going concern is not a formality in aviation. easyJet ended FY25 with GBP602m net cash and GBP4.8bn of available liquidity including a committed USD1.7bn RCF, but the resilience case still depends on downside assumptions and executable management actions.</w:t>
            </w:r>
          </w:p>
        </w:tc>
        <w:tc>
          <w:tcPr>
            <w:tcW w:w="1600" w:type="dxa"/>
          </w:tcPr>
          <w:p>
            <w:pPr>
              <w:spacing w:before="40" w:after="40"/>
            </w:pPr>
            <w:r>
              <w:rPr>
                <w:sz w:val="17"/>
                <w:szCs w:val="17"/>
              </w:rPr>
              <w:t xml:space="preserve">Disclosure, completeness, presentation.</w:t>
            </w:r>
          </w:p>
        </w:tc>
        <w:tc>
          <w:tcPr>
            <w:tcW w:w="2500" w:type="dxa"/>
          </w:tcPr>
          <w:p>
            <w:pPr>
              <w:spacing w:before="40" w:after="40"/>
            </w:pPr>
            <w:r>
              <w:rPr>
                <w:sz w:val="17"/>
                <w:szCs w:val="17"/>
              </w:rPr>
              <w:t xml:space="preserve">Downside assumptions may be too mild, or mitigations such as delaying aircraft deliveries or reducing capex may be assumed without enough evidence they are controllable in the required timeframe.</w:t>
            </w:r>
          </w:p>
        </w:tc>
        <w:tc>
          <w:tcPr>
            <w:tcW w:w="2900" w:type="dxa"/>
          </w:tcPr>
          <w:p>
            <w:pPr>
              <w:spacing w:before="40" w:after="40"/>
            </w:pPr>
            <w:r>
              <w:rPr>
                <w:sz w:val="17"/>
                <w:szCs w:val="17"/>
              </w:rPr>
              <w:t xml:space="preserve">Review the base case and severe downside model as a planning workstream, not a late-stage memo; test consistency with principal risks, fleet commitments and financing maturities; inspect facility agreements; challenge the practicality and timing of management actions; reassess whether post year-end events change the credibility of the downside case.</w:t>
            </w:r>
          </w:p>
        </w:tc>
      </w:tr>
    </w:tbl>
    <w:p>
      <w:pPr>
        <w:spacing w:before="160" w:after="80"/>
      </w:pPr>
      <w:r>
        <w:rPr>
          <w:b/>
          <w:sz w:val="24"/>
          <w:szCs w:val="24"/>
        </w:rPr>
        <w:t xml:space="preserve">3. Analytical Review</w:t>
      </w:r>
    </w:p>
    <w:p>
      <w:pPr>
        <w:spacing w:before="80" w:after="80"/>
      </w:pPr>
      <w:r>
        <w:rPr>
          <w:sz w:val="19"/>
          <w:szCs w:val="19"/>
        </w:rPr>
        <w:t xml:space="preserve">- For an airline, the most useful planning metrics are the ones that explain revenue timing, balance-sheet build-up and cash conversion. Retail-style ratios such as inventory days add little to the planning story here.</w:t>
      </w:r>
    </w:p>
    <w:tbl>
      <w:tblPr>
        <w:tblW w:w="0" w:type="auto"/>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Pr>
      <w:tr>
        <w:tc>
          <w:tcPr>
            <w:tcW w:w="2200" w:type="dxa"/>
          </w:tcPr>
          <w:p>
            <w:pPr>
              <w:spacing w:before="40" w:after="40"/>
            </w:pPr>
            <w:r>
              <w:rPr>
                <w:b/>
                <w:sz w:val="18"/>
                <w:szCs w:val="18"/>
              </w:rPr>
              <w:t xml:space="preserve">Metric</w:t>
            </w:r>
          </w:p>
        </w:tc>
        <w:tc>
          <w:tcPr>
            <w:tcW w:w="1200" w:type="dxa"/>
          </w:tcPr>
          <w:p>
            <w:pPr>
              <w:spacing w:before="40" w:after="40"/>
            </w:pPr>
            <w:r>
              <w:rPr>
                <w:b/>
                <w:sz w:val="18"/>
                <w:szCs w:val="18"/>
              </w:rPr>
              <w:t xml:space="preserve">FY2024</w:t>
            </w:r>
          </w:p>
        </w:tc>
        <w:tc>
          <w:tcPr>
            <w:tcW w:w="1200" w:type="dxa"/>
          </w:tcPr>
          <w:p>
            <w:pPr>
              <w:spacing w:before="40" w:after="40"/>
            </w:pPr>
            <w:r>
              <w:rPr>
                <w:b/>
                <w:sz w:val="18"/>
                <w:szCs w:val="18"/>
              </w:rPr>
              <w:t xml:space="preserve">FY2025</w:t>
            </w:r>
          </w:p>
        </w:tc>
        <w:tc>
          <w:tcPr>
            <w:tcW w:w="4400" w:type="dxa"/>
          </w:tcPr>
          <w:p>
            <w:pPr>
              <w:spacing w:before="40" w:after="40"/>
            </w:pPr>
            <w:r>
              <w:rPr>
                <w:b/>
                <w:sz w:val="18"/>
                <w:szCs w:val="18"/>
              </w:rPr>
              <w:t xml:space="preserve">Why it matters in planning</w:t>
            </w:r>
          </w:p>
        </w:tc>
      </w:tr>
      <w:tr>
        <w:tc>
          <w:tcPr>
            <w:tcW w:w="2200" w:type="dxa"/>
          </w:tcPr>
          <w:p>
            <w:pPr>
              <w:spacing w:before="40" w:after="40"/>
            </w:pPr>
            <w:r>
              <w:rPr>
                <w:sz w:val="17"/>
                <w:szCs w:val="17"/>
              </w:rPr>
              <w:t xml:space="preserve">Group revenue growth</w:t>
            </w:r>
          </w:p>
        </w:tc>
        <w:tc>
          <w:tcPr>
            <w:tcW w:w="1200" w:type="dxa"/>
          </w:tcPr>
          <w:p>
            <w:pPr>
              <w:spacing w:before="40" w:after="40"/>
            </w:pPr>
            <w:r>
              <w:rPr>
                <w:sz w:val="17"/>
                <w:szCs w:val="17"/>
              </w:rPr>
              <w:t xml:space="preserve">n/a</w:t>
            </w:r>
          </w:p>
        </w:tc>
        <w:tc>
          <w:tcPr>
            <w:tcW w:w="1200" w:type="dxa"/>
          </w:tcPr>
          <w:p>
            <w:pPr>
              <w:spacing w:before="40" w:after="40"/>
            </w:pPr>
            <w:r>
              <w:rPr>
                <w:sz w:val="17"/>
                <w:szCs w:val="17"/>
              </w:rPr>
              <w:t xml:space="preserve">8.6%</w:t>
            </w:r>
          </w:p>
        </w:tc>
        <w:tc>
          <w:tcPr>
            <w:tcW w:w="4400" w:type="dxa"/>
          </w:tcPr>
          <w:p>
            <w:pPr>
              <w:spacing w:before="40" w:after="40"/>
            </w:pPr>
            <w:r>
              <w:rPr>
                <w:sz w:val="17"/>
                <w:szCs w:val="17"/>
              </w:rPr>
              <w:t xml:space="preserve">Supportive growth, but the audit read-across is whether it is supported by capacity, flown sectors and holidays expansion, with no strain showing up in year-end cut-off.</w:t>
            </w:r>
          </w:p>
        </w:tc>
      </w:tr>
      <w:tr>
        <w:tc>
          <w:tcPr>
            <w:tcW w:w="2200" w:type="dxa"/>
          </w:tcPr>
          <w:p>
            <w:pPr>
              <w:spacing w:before="40" w:after="40"/>
            </w:pPr>
            <w:r>
              <w:rPr>
                <w:sz w:val="17"/>
                <w:szCs w:val="17"/>
              </w:rPr>
              <w:t xml:space="preserve">Airline revenue growth</w:t>
            </w:r>
          </w:p>
        </w:tc>
        <w:tc>
          <w:tcPr>
            <w:tcW w:w="1200" w:type="dxa"/>
          </w:tcPr>
          <w:p>
            <w:pPr>
              <w:spacing w:before="40" w:after="40"/>
            </w:pPr>
            <w:r>
              <w:rPr>
                <w:sz w:val="17"/>
                <w:szCs w:val="17"/>
              </w:rPr>
              <w:t xml:space="preserve">n/a</w:t>
            </w:r>
          </w:p>
        </w:tc>
        <w:tc>
          <w:tcPr>
            <w:tcW w:w="1200" w:type="dxa"/>
          </w:tcPr>
          <w:p>
            <w:pPr>
              <w:spacing w:before="40" w:after="40"/>
            </w:pPr>
            <w:r>
              <w:rPr>
                <w:sz w:val="17"/>
                <w:szCs w:val="17"/>
              </w:rPr>
              <w:t xml:space="preserve">6.0%</w:t>
            </w:r>
          </w:p>
        </w:tc>
        <w:tc>
          <w:tcPr>
            <w:tcW w:w="4400" w:type="dxa"/>
          </w:tcPr>
          <w:p>
            <w:pPr>
              <w:spacing w:before="40" w:after="40"/>
            </w:pPr>
            <w:r>
              <w:rPr>
                <w:sz w:val="17"/>
                <w:szCs w:val="17"/>
              </w:rPr>
              <w:t xml:space="preserve">Core airline revenue grew more slowly than Holidays. That mix shift matters because the revenue pattern and customer remedies are different across the two streams.</w:t>
            </w:r>
          </w:p>
        </w:tc>
      </w:tr>
      <w:tr>
        <w:tc>
          <w:tcPr>
            <w:tcW w:w="2200" w:type="dxa"/>
          </w:tcPr>
          <w:p>
            <w:pPr>
              <w:spacing w:before="40" w:after="40"/>
            </w:pPr>
            <w:r>
              <w:rPr>
                <w:sz w:val="17"/>
                <w:szCs w:val="17"/>
              </w:rPr>
              <w:t xml:space="preserve">easyJet holidays revenue growth</w:t>
            </w:r>
          </w:p>
        </w:tc>
        <w:tc>
          <w:tcPr>
            <w:tcW w:w="1200" w:type="dxa"/>
          </w:tcPr>
          <w:p>
            <w:pPr>
              <w:spacing w:before="40" w:after="40"/>
            </w:pPr>
            <w:r>
              <w:rPr>
                <w:sz w:val="17"/>
                <w:szCs w:val="17"/>
              </w:rPr>
              <w:t xml:space="preserve">n/a</w:t>
            </w:r>
          </w:p>
        </w:tc>
        <w:tc>
          <w:tcPr>
            <w:tcW w:w="1200" w:type="dxa"/>
          </w:tcPr>
          <w:p>
            <w:pPr>
              <w:spacing w:before="40" w:after="40"/>
            </w:pPr>
            <w:r>
              <w:rPr>
                <w:sz w:val="17"/>
                <w:szCs w:val="17"/>
              </w:rPr>
              <w:t xml:space="preserve">26.0%</w:t>
            </w:r>
          </w:p>
        </w:tc>
        <w:tc>
          <w:tcPr>
            <w:tcW w:w="4400" w:type="dxa"/>
          </w:tcPr>
          <w:p>
            <w:pPr>
              <w:spacing w:before="40" w:after="40"/>
            </w:pPr>
            <w:r>
              <w:rPr>
                <w:sz w:val="17"/>
                <w:szCs w:val="17"/>
              </w:rPr>
              <w:t xml:space="preserve">Fast growth in a newer revenue stream usually justifies extra planning attention, even if the absolute balance is smaller than the airline ledger.</w:t>
            </w:r>
          </w:p>
        </w:tc>
      </w:tr>
      <w:tr>
        <w:tc>
          <w:tcPr>
            <w:tcW w:w="2200" w:type="dxa"/>
          </w:tcPr>
          <w:p>
            <w:pPr>
              <w:spacing w:before="40" w:after="40"/>
            </w:pPr>
            <w:r>
              <w:rPr>
                <w:sz w:val="17"/>
                <w:szCs w:val="17"/>
              </w:rPr>
              <w:t xml:space="preserve">Operating margin</w:t>
            </w:r>
          </w:p>
        </w:tc>
        <w:tc>
          <w:tcPr>
            <w:tcW w:w="1200" w:type="dxa"/>
          </w:tcPr>
          <w:p>
            <w:pPr>
              <w:spacing w:before="40" w:after="40"/>
            </w:pPr>
            <w:r>
              <w:rPr>
                <w:sz w:val="17"/>
                <w:szCs w:val="17"/>
              </w:rPr>
              <w:t xml:space="preserve">6.3%</w:t>
            </w:r>
          </w:p>
        </w:tc>
        <w:tc>
          <w:tcPr>
            <w:tcW w:w="1200" w:type="dxa"/>
          </w:tcPr>
          <w:p>
            <w:pPr>
              <w:spacing w:before="40" w:after="40"/>
            </w:pPr>
            <w:r>
              <w:rPr>
                <w:sz w:val="17"/>
                <w:szCs w:val="17"/>
              </w:rPr>
              <w:t xml:space="preserve">6.9%</w:t>
            </w:r>
          </w:p>
        </w:tc>
        <w:tc>
          <w:tcPr>
            <w:tcW w:w="4400" w:type="dxa"/>
          </w:tcPr>
          <w:p>
            <w:pPr>
              <w:spacing w:before="40" w:after="40"/>
            </w:pPr>
            <w:r>
              <w:rPr>
                <w:sz w:val="17"/>
                <w:szCs w:val="17"/>
              </w:rPr>
              <w:t xml:space="preserve">Improving margin is positive, but the team still needs to understand whether the movement is driven by trading, mix, released provisions or estimation changes.</w:t>
            </w:r>
          </w:p>
        </w:tc>
      </w:tr>
      <w:tr>
        <w:tc>
          <w:tcPr>
            <w:tcW w:w="2200" w:type="dxa"/>
          </w:tcPr>
          <w:p>
            <w:pPr>
              <w:spacing w:before="40" w:after="40"/>
            </w:pPr>
            <w:r>
              <w:rPr>
                <w:sz w:val="17"/>
                <w:szCs w:val="17"/>
              </w:rPr>
              <w:t xml:space="preserve">Receivables days</w:t>
            </w:r>
          </w:p>
        </w:tc>
        <w:tc>
          <w:tcPr>
            <w:tcW w:w="1200" w:type="dxa"/>
          </w:tcPr>
          <w:p>
            <w:pPr>
              <w:spacing w:before="40" w:after="40"/>
            </w:pPr>
            <w:r>
              <w:rPr>
                <w:sz w:val="17"/>
                <w:szCs w:val="17"/>
              </w:rPr>
              <w:t xml:space="preserve">5.3 days</w:t>
            </w:r>
          </w:p>
        </w:tc>
        <w:tc>
          <w:tcPr>
            <w:tcW w:w="1200" w:type="dxa"/>
          </w:tcPr>
          <w:p>
            <w:pPr>
              <w:spacing w:before="40" w:after="40"/>
            </w:pPr>
            <w:r>
              <w:rPr>
                <w:sz w:val="17"/>
                <w:szCs w:val="17"/>
              </w:rPr>
              <w:t xml:space="preserve">4.7 days</w:t>
            </w:r>
          </w:p>
        </w:tc>
        <w:tc>
          <w:tcPr>
            <w:tcW w:w="4400" w:type="dxa"/>
          </w:tcPr>
          <w:p>
            <w:pPr>
              <w:spacing w:before="40" w:after="40"/>
            </w:pPr>
            <w:r>
              <w:rPr>
                <w:sz w:val="17"/>
                <w:szCs w:val="17"/>
              </w:rPr>
              <w:t xml:space="preserve">Low days are expected because cash is usually collected before travel. A sharp movement would push the team back into accrued income, B2B balances and classification.</w:t>
            </w:r>
          </w:p>
        </w:tc>
      </w:tr>
      <w:tr>
        <w:tc>
          <w:tcPr>
            <w:tcW w:w="2200" w:type="dxa"/>
          </w:tcPr>
          <w:p>
            <w:pPr>
              <w:spacing w:before="40" w:after="40"/>
            </w:pPr>
            <w:r>
              <w:rPr>
                <w:sz w:val="17"/>
                <w:szCs w:val="17"/>
              </w:rPr>
              <w:t xml:space="preserve">Cash conversion</w:t>
            </w:r>
          </w:p>
        </w:tc>
        <w:tc>
          <w:tcPr>
            <w:tcW w:w="1200" w:type="dxa"/>
          </w:tcPr>
          <w:p>
            <w:pPr>
              <w:spacing w:before="40" w:after="40"/>
            </w:pPr>
            <w:r>
              <w:rPr>
                <w:sz w:val="17"/>
                <w:szCs w:val="17"/>
              </w:rPr>
              <w:t xml:space="preserve">2.5x</w:t>
            </w:r>
          </w:p>
        </w:tc>
        <w:tc>
          <w:tcPr>
            <w:tcW w:w="1200" w:type="dxa"/>
          </w:tcPr>
          <w:p>
            <w:pPr>
              <w:spacing w:before="40" w:after="40"/>
            </w:pPr>
            <w:r>
              <w:rPr>
                <w:sz w:val="17"/>
                <w:szCs w:val="17"/>
              </w:rPr>
              <w:t xml:space="preserve">2.7x</w:t>
            </w:r>
          </w:p>
        </w:tc>
        <w:tc>
          <w:tcPr>
            <w:tcW w:w="4400" w:type="dxa"/>
          </w:tcPr>
          <w:p>
            <w:pPr>
              <w:spacing w:before="40" w:after="40"/>
            </w:pPr>
            <w:r>
              <w:rPr>
                <w:sz w:val="17"/>
                <w:szCs w:val="17"/>
              </w:rPr>
              <w:t xml:space="preserve">Strong cash conversion is normal for an advance-booking airline, but it also means revenue cannot be audited in isolation from contract liabilities.</w:t>
            </w:r>
          </w:p>
        </w:tc>
      </w:tr>
      <w:tr>
        <w:tc>
          <w:tcPr>
            <w:tcW w:w="2200" w:type="dxa"/>
          </w:tcPr>
          <w:p>
            <w:pPr>
              <w:spacing w:before="40" w:after="40"/>
            </w:pPr>
            <w:r>
              <w:rPr>
                <w:sz w:val="17"/>
                <w:szCs w:val="17"/>
              </w:rPr>
              <w:t xml:space="preserve">Closing customer contract liabilities as % of revenue</w:t>
            </w:r>
          </w:p>
        </w:tc>
        <w:tc>
          <w:tcPr>
            <w:tcW w:w="1200" w:type="dxa"/>
          </w:tcPr>
          <w:p>
            <w:pPr>
              <w:spacing w:before="40" w:after="40"/>
            </w:pPr>
            <w:r>
              <w:rPr>
                <w:sz w:val="17"/>
                <w:szCs w:val="17"/>
              </w:rPr>
              <w:t xml:space="preserve">19.1%</w:t>
            </w:r>
          </w:p>
        </w:tc>
        <w:tc>
          <w:tcPr>
            <w:tcW w:w="1200" w:type="dxa"/>
          </w:tcPr>
          <w:p>
            <w:pPr>
              <w:spacing w:before="40" w:after="40"/>
            </w:pPr>
            <w:r>
              <w:rPr>
                <w:sz w:val="17"/>
                <w:szCs w:val="17"/>
              </w:rPr>
              <w:t xml:space="preserve">19.5%</w:t>
            </w:r>
          </w:p>
        </w:tc>
        <w:tc>
          <w:tcPr>
            <w:tcW w:w="4400" w:type="dxa"/>
          </w:tcPr>
          <w:p>
            <w:pPr>
              <w:spacing w:before="40" w:after="40"/>
            </w:pPr>
            <w:r>
              <w:rPr>
                <w:sz w:val="17"/>
                <w:szCs w:val="17"/>
              </w:rPr>
              <w:t xml:space="preserve">This is a better airline planning metric than inventory days or gross margin. It shows how much of the revenue cycle still sits on the balance sheet at year end.</w:t>
            </w:r>
          </w:p>
        </w:tc>
      </w:tr>
      <w:tr>
        <w:tc>
          <w:tcPr>
            <w:tcW w:w="2200" w:type="dxa"/>
          </w:tcPr>
          <w:p>
            <w:pPr>
              <w:spacing w:before="40" w:after="40"/>
            </w:pPr>
            <w:r>
              <w:rPr>
                <w:sz w:val="17"/>
                <w:szCs w:val="17"/>
              </w:rPr>
              <w:t xml:space="preserve">Revenue recognised from opening customer liabilities</w:t>
            </w:r>
          </w:p>
        </w:tc>
        <w:tc>
          <w:tcPr>
            <w:tcW w:w="1200" w:type="dxa"/>
          </w:tcPr>
          <w:p>
            <w:pPr>
              <w:spacing w:before="40" w:after="40"/>
            </w:pPr>
            <w:r>
              <w:rPr>
                <w:sz w:val="17"/>
                <w:szCs w:val="17"/>
              </w:rPr>
              <w:t xml:space="preserve">GBP1.446bn</w:t>
            </w:r>
          </w:p>
        </w:tc>
        <w:tc>
          <w:tcPr>
            <w:tcW w:w="1200" w:type="dxa"/>
          </w:tcPr>
          <w:p>
            <w:pPr>
              <w:spacing w:before="40" w:after="40"/>
            </w:pPr>
            <w:r>
              <w:rPr>
                <w:sz w:val="17"/>
                <w:szCs w:val="17"/>
              </w:rPr>
              <w:t xml:space="preserve">GBP1.703bn</w:t>
            </w:r>
          </w:p>
        </w:tc>
        <w:tc>
          <w:tcPr>
            <w:tcW w:w="4400" w:type="dxa"/>
          </w:tcPr>
          <w:p>
            <w:pPr>
              <w:spacing w:before="40" w:after="40"/>
            </w:pPr>
            <w:r>
              <w:rPr>
                <w:sz w:val="17"/>
                <w:szCs w:val="17"/>
              </w:rPr>
              <w:t xml:space="preserve">A large part of current-year revenue was already carried on the balance sheet at the prior year end, which is why the roll-forward is a core audit bridge.</w:t>
            </w:r>
          </w:p>
        </w:tc>
      </w:tr>
    </w:tbl>
    <w:p>
      <w:pPr>
        <w:spacing w:before="160" w:after="80"/>
      </w:pPr>
      <w:r>
        <w:rPr>
          <w:b/>
          <w:sz w:val="24"/>
          <w:szCs w:val="24"/>
        </w:rPr>
        <w:t xml:space="preserve">4. Revenue Recognition Under IFRS 15 - Planning Issues</w:t>
      </w:r>
    </w:p>
    <w:p>
      <w:pPr>
        <w:spacing w:before="80" w:after="80"/>
      </w:pPr>
      <w:r>
        <w:rPr>
          <w:sz w:val="19"/>
          <w:szCs w:val="19"/>
        </w:rPr>
        <w:t xml:space="preserve">- Revenue is not one policy at easyJet. Passenger seats and most airline ancillary revenue are recognised at a point in time when the flight takes place; cancellation fees are recognised when the cancellation request is processed; easyJet Plus is recognised evenly over the membership term; partner revenue is recognised net as commission because easyJet acts as agent; travel insurance commission is recognised at booking; and easyJet holidays non-flight elements are recognised over time across the holiday.</w:t>
      </w:r>
    </w:p>
    <w:p>
      <w:pPr>
        <w:spacing w:before="80" w:after="80"/>
      </w:pPr>
      <w:r>
        <w:rPr>
          <w:sz w:val="19"/>
          <w:szCs w:val="19"/>
        </w:rPr>
        <w:t xml:space="preserve">- Timing is therefore the first real IFRS 15 issue. The event date that drives recognition is usually not the booking date or cash-receipt date. For passenger and most ancillary revenue it is the flown date; for holidays it is the passage of the holiday period; for membership income it is the membership term. The planning response needs to focus on whether system logic is aligned to those triggers.</w:t>
      </w:r>
    </w:p>
    <w:p>
      <w:pPr>
        <w:spacing w:before="80" w:after="80"/>
      </w:pPr>
      <w:r>
        <w:rPr>
          <w:sz w:val="19"/>
          <w:szCs w:val="19"/>
        </w:rPr>
        <w:t xml:space="preserve">- Variable consideration is also real here rather than theoretical. easyJet offsets delay and cancellation compensation against revenue up to the value of the related flight, with any excess taken to other costs. The outstanding liability is based on known eligible events, passengers impacted and expected claim rates. In IFRS 15 terms, management should only reduce liabilities or recognise breakage when it is highly probable there will not be a significant reversal later.</w:t>
      </w:r>
    </w:p>
    <w:p>
      <w:pPr>
        <w:spacing w:before="80" w:after="80"/>
      </w:pPr>
      <w:r>
        <w:rPr>
          <w:sz w:val="19"/>
          <w:szCs w:val="19"/>
        </w:rPr>
        <w:t xml:space="preserve">- Vouchers, unrequested refunds and flight-transfer options add a second layer of judgement. Once a flight is cancelled, the cash may need to move out of unearned revenue into other customer contract liabilities. Revenue can only be recognised from breakage when redemption or refund is remote. This is commercially sensitive because disruption levels, claim behaviour and local regulation can change quickly.</w:t>
      </w:r>
    </w:p>
    <w:p>
      <w:pPr>
        <w:spacing w:before="80" w:after="80"/>
      </w:pPr>
      <w:r>
        <w:rPr>
          <w:sz w:val="19"/>
          <w:szCs w:val="19"/>
        </w:rPr>
        <w:t xml:space="preserve">- Cut-off risk is heightened by scale and by the fact that the balance-sheet bridge is large. In FY25, easyJet deferred GBP11.019bn of revenue during the year and closed with GBP1.95bn of unearned revenue. It recognised GBP1.678bn of opening unearned revenue and GBP25m of opening other customer contract liabilities through the year. A mis-dated flight status, failed interface or wrong liability classification can therefore move a material amount of revenue between periods.</w:t>
      </w:r>
    </w:p>
    <w:p>
      <w:pPr>
        <w:spacing w:before="80" w:after="80"/>
      </w:pPr>
      <w:r>
        <w:rPr>
          <w:sz w:val="19"/>
          <w:szCs w:val="19"/>
        </w:rPr>
        <w:t xml:space="preserve">- There is also an important bridge issue in the disclosure: the contract-liability roll-forward is presented inclusive of airline passenger duty, whereas passenger revenue is recognised excluding APD. A realistic audit team would build that bridge explicitly rather than force a false tie between operational bookings, contract liabilities and the revenue note.</w:t>
      </w:r>
    </w:p>
    <w:p>
      <w:pPr>
        <w:spacing w:before="80" w:after="80"/>
      </w:pPr>
      <w:r>
        <w:rPr>
          <w:sz w:val="19"/>
          <w:szCs w:val="19"/>
        </w:rPr>
        <w:t xml:space="preserve">- For accounting advisory, the most credible review questions are: does each product have the right performance obligation and trigger; are partner and insurance arrangements correctly presented net rather than gross; is holidays revenue really being recognised over the stay; and is breakage constrained appropriately? For audit, the equivalent response is to test system configuration, reperform the contract-liability roll-forward, use population analytics around 30 September flights and holidays, inspect manual journals, and use post year-end claims and voucher redemption data to challenge estimates.</w:t>
      </w:r>
    </w:p>
    <w:p>
      <w:pPr>
        <w:spacing w:before="160" w:after="80"/>
      </w:pPr>
      <w:r>
        <w:rPr>
          <w:b/>
          <w:sz w:val="24"/>
          <w:szCs w:val="24"/>
        </w:rPr>
        <w:t xml:space="preserve">5. Audit Approach Summary</w:t>
      </w:r>
    </w:p>
    <w:p>
      <w:pPr>
        <w:spacing w:before="80" w:after="80"/>
      </w:pPr>
      <w:r>
        <w:rPr>
          <w:sz w:val="19"/>
          <w:szCs w:val="19"/>
        </w:rPr>
        <w:t xml:space="preserve">- Front-load systems and data-flow understanding. For easyJet, planning quality depends heavily on how booking, departure-control, cancellation, voucher and finance systems interact.</w:t>
      </w:r>
    </w:p>
    <w:p>
      <w:pPr>
        <w:spacing w:before="80" w:after="80"/>
      </w:pPr>
      <w:r>
        <w:rPr>
          <w:sz w:val="19"/>
          <w:szCs w:val="19"/>
        </w:rPr>
        <w:t xml:space="preserve">- Treat the revenue workstream as an IT-enabled audit area. The team should identify the rules that release unearned revenue, create refund or voucher liabilities and recognise Holidays revenue over the stay, then decide where control testing is efficient and where substantive data work is still needed.</w:t>
      </w:r>
    </w:p>
    <w:p>
      <w:pPr>
        <w:spacing w:before="80" w:after="80"/>
      </w:pPr>
      <w:r>
        <w:rPr>
          <w:sz w:val="19"/>
          <w:szCs w:val="19"/>
        </w:rPr>
        <w:t xml:space="preserve">- Use commercial information in the challenge process. Revenue and estimates should be challenged against disruption experience, customer behaviour, Holidays growth, yield trends, fuel and FX pressure, and route maturity rather than in isolation.</w:t>
      </w:r>
    </w:p>
    <w:p>
      <w:pPr>
        <w:spacing w:before="80" w:after="80"/>
      </w:pPr>
      <w:r>
        <w:rPr>
          <w:sz w:val="19"/>
          <w:szCs w:val="19"/>
        </w:rPr>
        <w:t xml:space="preserve">- Keep professional scepticism on the balances management can influence through judgement: contract liabilities, breakage, compensation accruals, provisions, valuation models and year-end classification decisions.</w:t>
      </w:r>
    </w:p>
    <w:p>
      <w:pPr>
        <w:spacing w:before="160" w:after="80"/>
      </w:pPr>
      <w:r>
        <w:rPr>
          <w:b/>
          <w:sz w:val="24"/>
          <w:szCs w:val="24"/>
        </w:rPr>
        <w:t xml:space="preserve">6. Conclusion</w:t>
      </w:r>
    </w:p>
    <w:p>
      <w:pPr>
        <w:spacing w:before="80" w:after="80"/>
      </w:pPr>
      <w:r>
        <w:rPr>
          <w:sz w:val="19"/>
          <w:szCs w:val="19"/>
        </w:rPr>
        <w:t xml:space="preserve">- The highest-risk area remains revenue and customer liabilities. It is the most pervasive issue on the file because it combines multiple IFRS 15 recognition triggers, large contract-liability balances, variable consideration, cut-off exposure and dependence on complex systems.</w:t>
      </w:r>
    </w:p>
    <w:p>
      <w:pPr>
        <w:spacing w:before="80" w:after="80"/>
      </w:pPr>
      <w:r>
        <w:rPr>
          <w:sz w:val="19"/>
          <w:szCs w:val="19"/>
        </w:rPr>
        <w:t xml:space="preserve">- The leased aircraft maintenance provision remains the most judgemental estimate, but revenue is the wider planning risk because it affects both reported performance and the credibility of the balance-sheet liabilities that support it.</w:t>
      </w:r>
    </w:p>
    <w:sectPr xmlns:w="http://schemas.openxmlformats.org/wordprocessingml/2006/main">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2FD"/>
    <w:rsid w:val="001138C8"/>
    <w:rsid w:val="00406184"/>
    <w:rsid w:val="0041674E"/>
    <w:rsid w:val="00FC02FD"/>
    <w:rsid w:val="00FC29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96EA68C"/>
  <w15:chartTrackingRefBased/>
  <w15:docId w15:val="{0A553E0A-9940-1645-8D01-E51CE75CF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02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02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02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02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2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2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2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2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2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2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02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02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02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2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2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2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2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2FD"/>
    <w:rPr>
      <w:rFonts w:eastAsiaTheme="majorEastAsia" w:cstheme="majorBidi"/>
      <w:color w:val="272727" w:themeColor="text1" w:themeTint="D8"/>
    </w:rPr>
  </w:style>
  <w:style w:type="paragraph" w:styleId="Title">
    <w:name w:val="Title"/>
    <w:basedOn w:val="Normal"/>
    <w:next w:val="Normal"/>
    <w:link w:val="TitleChar"/>
    <w:uiPriority w:val="10"/>
    <w:qFormat/>
    <w:rsid w:val="00FC02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2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2F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2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2F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C02FD"/>
    <w:rPr>
      <w:i/>
      <w:iCs/>
      <w:color w:val="404040" w:themeColor="text1" w:themeTint="BF"/>
    </w:rPr>
  </w:style>
  <w:style w:type="paragraph" w:styleId="ListParagraph">
    <w:name w:val="List Paragraph"/>
    <w:basedOn w:val="Normal"/>
    <w:uiPriority w:val="34"/>
    <w:qFormat/>
    <w:rsid w:val="00FC02FD"/>
    <w:pPr>
      <w:ind w:left="720"/>
      <w:contextualSpacing/>
    </w:pPr>
  </w:style>
  <w:style w:type="character" w:styleId="IntenseEmphasis">
    <w:name w:val="Intense Emphasis"/>
    <w:basedOn w:val="DefaultParagraphFont"/>
    <w:uiPriority w:val="21"/>
    <w:qFormat/>
    <w:rsid w:val="00FC02FD"/>
    <w:rPr>
      <w:i/>
      <w:iCs/>
      <w:color w:val="0F4761" w:themeColor="accent1" w:themeShade="BF"/>
    </w:rPr>
  </w:style>
  <w:style w:type="paragraph" w:styleId="IntenseQuote">
    <w:name w:val="Intense Quote"/>
    <w:basedOn w:val="Normal"/>
    <w:next w:val="Normal"/>
    <w:link w:val="IntenseQuoteChar"/>
    <w:uiPriority w:val="30"/>
    <w:qFormat/>
    <w:rsid w:val="00FC02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2FD"/>
    <w:rPr>
      <w:i/>
      <w:iCs/>
      <w:color w:val="0F4761" w:themeColor="accent1" w:themeShade="BF"/>
    </w:rPr>
  </w:style>
  <w:style w:type="character" w:styleId="IntenseReference">
    <w:name w:val="Intense Reference"/>
    <w:basedOn w:val="DefaultParagraphFont"/>
    <w:uiPriority w:val="32"/>
    <w:qFormat/>
    <w:rsid w:val="00FC02F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Risk Review - easyJet plc FY2025</dc:title>
  <dc:creator>Codex</dc:creator>
  <cp:lastModifiedBy>Codex</cp:lastModifiedBy>
  <dcterms:created xsi:type="dcterms:W3CDTF">2026-04-03T21:50:34Z</dcterms:created>
  <dcterms:modified xsi:type="dcterms:W3CDTF">2026-04-03T21:50:34Z</dcterms:modified>
</cp:coreProperties>
</file>