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BF4B28"/>
          <w:sz w:val="44"/>
          <w:szCs w:val="44"/>
        </w:rPr>
        <w:t xml:space="preserve">CRITICAL REVIEW</w:t>
      </w:r>
    </w:p>
    <w:p>
      <w:pPr>
        <w:pBdr>
          <w:bottom w:val="single" w:color="1F4E79" w:sz="6" w:space="8"/>
        </w:pBdr>
        <w:spacing w:after="100"/>
        <w:jc w:val="center"/>
      </w:pPr>
      <w:r>
        <w:rPr>
          <w:rFonts w:ascii="Arial" w:cs="Arial" w:eastAsia="Arial" w:hAnsi="Arial"/>
          <w:color w:val="1F4E79"/>
          <w:sz w:val="26"/>
          <w:szCs w:val="26"/>
        </w:rPr>
        <w:t xml:space="preserve">Transaction Case Study &amp; LBO Model — Morrisons / CD&amp;R 2021</w:t>
      </w:r>
    </w:p>
    <w:p>
      <w:pPr>
        <w:spacing w:before="400"/>
        <w:jc w:val="center"/>
      </w:pPr>
      <w:r>
        <w:rPr>
          <w:rFonts w:ascii="Arial" w:cs="Arial" w:eastAsia="Arial" w:hAnsi="Arial"/>
          <w:color w:val="666666"/>
          <w:sz w:val="20"/>
          <w:szCs w:val="20"/>
        </w:rPr>
        <w:t xml:space="preserve">Reviewed against: PE Associate | IB Analyst (M&amp;A) | Big 4 Transaction Services Standards</w:t>
      </w:r>
    </w:p>
    <w:p>
      <w:pPr>
        <w:spacing w:before="200"/>
        <w:jc w:val="center"/>
      </w:pPr>
      <w:r>
        <w:rPr>
          <w:rFonts w:ascii="Arial" w:cs="Arial" w:eastAsia="Arial" w:hAnsi="Arial"/>
          <w:color w:val="666666"/>
          <w:sz w:val="20"/>
          <w:szCs w:val="20"/>
        </w:rPr>
        <w:t xml:space="preserve">April 2026</w:t>
      </w:r>
    </w:p>
    <w:p>
      <w:r>
        <w:br w:type="page"/>
      </w:r>
    </w:p>
    <w:p>
      <w:pPr>
        <w:pStyle w:val="Heading1"/>
        <w:spacing w:after="200" w:before="360"/>
      </w:pPr>
      <w:r>
        <w:rPr>
          <w:rFonts w:ascii="Arial" w:cs="Arial" w:eastAsia="Arial" w:hAnsi="Arial"/>
        </w:rPr>
        <w:t xml:space="preserve">A. Overall Verdict</w:t>
      </w:r>
    </w:p>
    <w:p>
      <w:pPr>
        <w:spacing w:after="160"/>
      </w:pPr>
      <w:r>
        <w:rPr>
          <w:rFonts w:ascii="Arial" w:cs="Arial" w:eastAsia="Arial" w:hAnsi="Arial"/>
          <w:b/>
          <w:bCs/>
          <w:sz w:val="21"/>
          <w:szCs w:val="21"/>
        </w:rPr>
        <w:t xml:space="preserve">Rating: STRONG for a graduate-level portfolio piece, with fixable issues that currently prevent it reaching associate-level standard.</w:t>
      </w:r>
    </w:p>
    <w:p>
      <w:pPr>
        <w:spacing w:after="160"/>
      </w:pPr>
      <w:r>
        <w:rPr>
          <w:rFonts w:ascii="Arial" w:cs="Arial" w:eastAsia="Arial" w:hAnsi="Arial"/>
          <w:sz w:val="21"/>
          <w:szCs w:val="21"/>
        </w:rPr>
        <w:t xml:space="preserve">This is a materially above-average piece of work for someone building a PE/IB portfolio. The deal selection is excellent (real, complex, topical), the model architecture is sound, and the write-up demonstrates genuine commercial judgement rather than textbook regurgitation. The conclusion that the deal was “defensible but not compelling” at 8.1% IRR is the kind of honest, nuanced take that interviewers look for.</w:t>
      </w:r>
    </w:p>
    <w:p>
      <w:pPr>
        <w:spacing w:after="160"/>
      </w:pPr>
      <w:r>
        <w:rPr>
          <w:rFonts w:ascii="Arial" w:cs="Arial" w:eastAsia="Arial" w:hAnsi="Arial"/>
          <w:sz w:val="21"/>
          <w:szCs w:val="21"/>
        </w:rPr>
        <w:t xml:space="preserve">However, the audit revealed </w:t>
      </w:r>
      <w:r>
        <w:rPr>
          <w:rFonts w:ascii="Arial" w:cs="Arial" w:eastAsia="Arial" w:hAnsi="Arial"/>
          <w:b/>
          <w:bCs/>
          <w:color w:val="CC0000"/>
          <w:sz w:val="21"/>
          <w:szCs w:val="21"/>
        </w:rPr>
        <w:t xml:space="preserve">two critical formula errors</w:t>
      </w:r>
      <w:r>
        <w:rPr>
          <w:rFonts w:ascii="Arial" w:cs="Arial" w:eastAsia="Arial" w:hAnsi="Arial"/>
          <w:sz w:val="21"/>
          <w:szCs w:val="21"/>
        </w:rPr>
        <w:t xml:space="preserve"> and </w:t>
      </w:r>
      <w:r>
        <w:rPr>
          <w:rFonts w:ascii="Arial" w:cs="Arial" w:eastAsia="Arial" w:hAnsi="Arial"/>
          <w:b/>
          <w:bCs/>
          <w:sz w:val="21"/>
          <w:szCs w:val="21"/>
        </w:rPr>
        <w:t xml:space="preserve">several moderate issues</w:t>
      </w:r>
      <w:r>
        <w:rPr>
          <w:rFonts w:ascii="Arial" w:cs="Arial" w:eastAsia="Arial" w:hAnsi="Arial"/>
          <w:sz w:val="21"/>
          <w:szCs w:val="21"/>
        </w:rPr>
        <w:t xml:space="preserve"> that would be caught immediately in a professional environment. These must be fixed before showing this to anyone. The good news: every issue is straightforward to resolve, and the underlying model architecture is correct.</w:t>
      </w:r>
    </w:p>
    <w:p>
      <w:r>
        <w:br w:type="page"/>
      </w:r>
    </w:p>
    <w:p>
      <w:pPr>
        <w:pStyle w:val="Heading1"/>
        <w:spacing w:after="200" w:before="360"/>
      </w:pPr>
      <w:r>
        <w:rPr>
          <w:rFonts w:ascii="Arial" w:cs="Arial" w:eastAsia="Arial" w:hAnsi="Arial"/>
        </w:rPr>
        <w:t xml:space="preserve">B. Completeness Check</w:t>
      </w:r>
    </w:p>
    <w:p>
      <w:pPr>
        <w:pStyle w:val="Heading2"/>
        <w:spacing w:after="160" w:before="280"/>
      </w:pPr>
      <w:r>
        <w:rPr>
          <w:rFonts w:ascii="Arial" w:cs="Arial" w:eastAsia="Arial" w:hAnsi="Arial"/>
        </w:rPr>
        <w:t xml:space="preserve">Transaction Write-Up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320"/>
        <w:gridCol w:w="1800"/>
        <w:gridCol w:w="3600"/>
      </w:tblGrid>
      <w:tr>
        <w:tc>
          <w:tcPr>
            <w:tcW w:type="dxa" w:w="432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Element</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Notes</w:t>
            </w:r>
          </w:p>
        </w:tc>
      </w:tr>
      <w:tr>
        <w:tc>
          <w:tcPr>
            <w:tcW w:type="dxa" w:w="4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Executive Summary</w:t>
            </w:r>
          </w:p>
        </w:tc>
        <w:tc>
          <w:tcPr>
            <w:tcW w:type="dxa" w:w="1800"/>
            <w:tcBorders>
              <w:top w:val="single" w:color="BFBFBF" w:sz="1"/>
              <w:left w:val="single" w:color="BFBFBF" w:sz="1"/>
              <w:bottom w:val="single" w:color="BFBFBF" w:sz="1"/>
              <w:right w:val="single" w:color="BFBFBF" w:sz="1"/>
            </w:tcBorders>
            <w:shd w:fill="C6EFCE" w:val="clear"/>
            <w:tcMar>
              <w:top w:type="dxa" w:w="60"/>
              <w:left w:type="dxa" w:w="100"/>
              <w:bottom w:type="dxa" w:w="60"/>
              <w:right w:type="dxa" w:w="100"/>
            </w:tcMar>
          </w:tcPr>
          <w:p>
            <w:r>
              <w:rPr>
                <w:rFonts w:ascii="Arial" w:cs="Arial" w:eastAsia="Arial" w:hAnsi="Arial"/>
                <w:sz w:val="20"/>
                <w:szCs w:val="20"/>
              </w:rPr>
              <w:t xml:space="preserve">PRESENT</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Strong. Includes key numbers.</w:t>
            </w:r>
          </w:p>
        </w:tc>
      </w:tr>
      <w:tr>
        <w:tc>
          <w:tcPr>
            <w:tcW w:type="dxa" w:w="4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Deal Overview (buyer, target, price, structure)</w:t>
            </w:r>
          </w:p>
        </w:tc>
        <w:tc>
          <w:tcPr>
            <w:tcW w:type="dxa" w:w="1800"/>
            <w:tcBorders>
              <w:top w:val="single" w:color="BFBFBF" w:sz="1"/>
              <w:left w:val="single" w:color="BFBFBF" w:sz="1"/>
              <w:bottom w:val="single" w:color="BFBFBF" w:sz="1"/>
              <w:right w:val="single" w:color="BFBFBF" w:sz="1"/>
            </w:tcBorders>
            <w:shd w:fill="C6EFCE" w:val="clear"/>
            <w:tcMar>
              <w:top w:type="dxa" w:w="60"/>
              <w:left w:type="dxa" w:w="100"/>
              <w:bottom w:type="dxa" w:w="60"/>
              <w:right w:type="dxa" w:w="100"/>
            </w:tcMar>
          </w:tcPr>
          <w:p>
            <w:r>
              <w:rPr>
                <w:rFonts w:ascii="Arial" w:cs="Arial" w:eastAsia="Arial" w:hAnsi="Arial"/>
                <w:sz w:val="20"/>
                <w:szCs w:val="20"/>
              </w:rPr>
              <w:t xml:space="preserve">PRESENT</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Embedded in exec summary + table.</w:t>
            </w:r>
          </w:p>
        </w:tc>
      </w:tr>
      <w:tr>
        <w:tc>
          <w:tcPr>
            <w:tcW w:type="dxa" w:w="4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Investment Thesis (specific, not generic)</w:t>
            </w:r>
          </w:p>
        </w:tc>
        <w:tc>
          <w:tcPr>
            <w:tcW w:type="dxa" w:w="1800"/>
            <w:tcBorders>
              <w:top w:val="single" w:color="BFBFBF" w:sz="1"/>
              <w:left w:val="single" w:color="BFBFBF" w:sz="1"/>
              <w:bottom w:val="single" w:color="BFBFBF" w:sz="1"/>
              <w:right w:val="single" w:color="BFBFBF" w:sz="1"/>
            </w:tcBorders>
            <w:shd w:fill="C6EFCE" w:val="clear"/>
            <w:tcMar>
              <w:top w:type="dxa" w:w="60"/>
              <w:left w:type="dxa" w:w="100"/>
              <w:bottom w:type="dxa" w:w="60"/>
              <w:right w:type="dxa" w:w="100"/>
            </w:tcMar>
          </w:tcPr>
          <w:p>
            <w:r>
              <w:rPr>
                <w:rFonts w:ascii="Arial" w:cs="Arial" w:eastAsia="Arial" w:hAnsi="Arial"/>
                <w:sz w:val="20"/>
                <w:szCs w:val="20"/>
              </w:rPr>
              <w:t xml:space="preserve">PRESENT</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Three clear pillars. Specific to Morrisons.</w:t>
            </w:r>
          </w:p>
        </w:tc>
      </w:tr>
      <w:tr>
        <w:tc>
          <w:tcPr>
            <w:tcW w:type="dxa" w:w="4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Industry Context</w:t>
            </w:r>
          </w:p>
        </w:tc>
        <w:tc>
          <w:tcPr>
            <w:tcW w:type="dxa" w:w="1800"/>
            <w:tcBorders>
              <w:top w:val="single" w:color="BFBFBF" w:sz="1"/>
              <w:left w:val="single" w:color="BFBFBF" w:sz="1"/>
              <w:bottom w:val="single" w:color="BFBFBF" w:sz="1"/>
              <w:right w:val="single" w:color="BFBFBF" w:sz="1"/>
            </w:tcBorders>
            <w:shd w:fill="C6EFCE" w:val="clear"/>
            <w:tcMar>
              <w:top w:type="dxa" w:w="60"/>
              <w:left w:type="dxa" w:w="100"/>
              <w:bottom w:type="dxa" w:w="60"/>
              <w:right w:type="dxa" w:w="100"/>
            </w:tcMar>
          </w:tcPr>
          <w:p>
            <w:r>
              <w:rPr>
                <w:rFonts w:ascii="Arial" w:cs="Arial" w:eastAsia="Arial" w:hAnsi="Arial"/>
                <w:sz w:val="20"/>
                <w:szCs w:val="20"/>
              </w:rPr>
              <w:t xml:space="preserve">PRESENT</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Discounters, COVID, inflation covered.</w:t>
            </w:r>
          </w:p>
        </w:tc>
      </w:tr>
      <w:tr>
        <w:tc>
          <w:tcPr>
            <w:tcW w:type="dxa" w:w="4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Value Creation Plan (specific levers)</w:t>
            </w:r>
          </w:p>
        </w:tc>
        <w:tc>
          <w:tcPr>
            <w:tcW w:type="dxa" w:w="1800"/>
            <w:tcBorders>
              <w:top w:val="single" w:color="BFBFBF" w:sz="1"/>
              <w:left w:val="single" w:color="BFBFBF" w:sz="1"/>
              <w:bottom w:val="single" w:color="BFBFBF" w:sz="1"/>
              <w:right w:val="single" w:color="BFBFBF" w:sz="1"/>
            </w:tcBorders>
            <w:shd w:fill="C6EFCE" w:val="clear"/>
            <w:tcMar>
              <w:top w:type="dxa" w:w="60"/>
              <w:left w:type="dxa" w:w="100"/>
              <w:bottom w:type="dxa" w:w="60"/>
              <w:right w:type="dxa" w:w="100"/>
            </w:tcMar>
          </w:tcPr>
          <w:p>
            <w:r>
              <w:rPr>
                <w:rFonts w:ascii="Arial" w:cs="Arial" w:eastAsia="Arial" w:hAnsi="Arial"/>
                <w:sz w:val="20"/>
                <w:szCs w:val="20"/>
              </w:rPr>
              <w:t xml:space="preserve">PRESENT</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Revenue, margin, deleveraging, property.</w:t>
            </w:r>
          </w:p>
        </w:tc>
      </w:tr>
      <w:tr>
        <w:tc>
          <w:tcPr>
            <w:tcW w:type="dxa" w:w="4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Risks (commercial + deal-specific)</w:t>
            </w:r>
          </w:p>
        </w:tc>
        <w:tc>
          <w:tcPr>
            <w:tcW w:type="dxa" w:w="1800"/>
            <w:tcBorders>
              <w:top w:val="single" w:color="BFBFBF" w:sz="1"/>
              <w:left w:val="single" w:color="BFBFBF" w:sz="1"/>
              <w:bottom w:val="single" w:color="BFBFBF" w:sz="1"/>
              <w:right w:val="single" w:color="BFBFBF" w:sz="1"/>
            </w:tcBorders>
            <w:shd w:fill="C6EFCE" w:val="clear"/>
            <w:tcMar>
              <w:top w:type="dxa" w:w="60"/>
              <w:left w:type="dxa" w:w="100"/>
              <w:bottom w:type="dxa" w:w="60"/>
              <w:right w:type="dxa" w:w="100"/>
            </w:tcMar>
          </w:tcPr>
          <w:p>
            <w:r>
              <w:rPr>
                <w:rFonts w:ascii="Arial" w:cs="Arial" w:eastAsia="Arial" w:hAnsi="Arial"/>
                <w:sz w:val="20"/>
                <w:szCs w:val="20"/>
              </w:rPr>
              <w:t xml:space="preserve">PRESENT</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Five risks. McColl’s and Goldman ref are strong.</w:t>
            </w:r>
          </w:p>
        </w:tc>
      </w:tr>
      <w:tr>
        <w:tc>
          <w:tcPr>
            <w:tcW w:type="dxa" w:w="4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Conclusion (clear view on attractiveness)</w:t>
            </w:r>
          </w:p>
        </w:tc>
        <w:tc>
          <w:tcPr>
            <w:tcW w:type="dxa" w:w="1800"/>
            <w:tcBorders>
              <w:top w:val="single" w:color="BFBFBF" w:sz="1"/>
              <w:left w:val="single" w:color="BFBFBF" w:sz="1"/>
              <w:bottom w:val="single" w:color="BFBFBF" w:sz="1"/>
              <w:right w:val="single" w:color="BFBFBF" w:sz="1"/>
            </w:tcBorders>
            <w:shd w:fill="C6EFCE" w:val="clear"/>
            <w:tcMar>
              <w:top w:type="dxa" w:w="60"/>
              <w:left w:type="dxa" w:w="100"/>
              <w:bottom w:type="dxa" w:w="60"/>
              <w:right w:type="dxa" w:w="100"/>
            </w:tcMar>
          </w:tcPr>
          <w:p>
            <w:r>
              <w:rPr>
                <w:rFonts w:ascii="Arial" w:cs="Arial" w:eastAsia="Arial" w:hAnsi="Arial"/>
                <w:sz w:val="20"/>
                <w:szCs w:val="20"/>
              </w:rPr>
              <w:t xml:space="preserve">PRESENT</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Excellent. “Defensible but not compelling.”</w:t>
            </w:r>
          </w:p>
        </w:tc>
      </w:tr>
      <w:tr>
        <w:tc>
          <w:tcPr>
            <w:tcW w:type="dxa" w:w="4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Comparable transactions / precedent deals</w:t>
            </w:r>
          </w:p>
        </w:tc>
        <w:tc>
          <w:tcPr>
            <w:tcW w:type="dxa" w:w="1800"/>
            <w:tcBorders>
              <w:top w:val="single" w:color="BFBFBF" w:sz="1"/>
              <w:left w:val="single" w:color="BFBFBF" w:sz="1"/>
              <w:bottom w:val="single" w:color="BFBFBF" w:sz="1"/>
              <w:right w:val="single" w:color="BFBFBF" w:sz="1"/>
            </w:tcBorders>
            <w:shd w:fill="FFC7CE" w:val="clear"/>
            <w:tcMar>
              <w:top w:type="dxa" w:w="60"/>
              <w:left w:type="dxa" w:w="100"/>
              <w:bottom w:type="dxa" w:w="60"/>
              <w:right w:type="dxa" w:w="100"/>
            </w:tcMar>
          </w:tcPr>
          <w:p>
            <w:r>
              <w:rPr>
                <w:rFonts w:ascii="Arial" w:cs="Arial" w:eastAsia="Arial" w:hAnsi="Arial"/>
                <w:sz w:val="20"/>
                <w:szCs w:val="20"/>
              </w:rPr>
              <w:t xml:space="preserve">MISSING</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No Asda, Sainsbury’s, or EU grocery comps.</w:t>
            </w:r>
          </w:p>
        </w:tc>
      </w:tr>
      <w:tr>
        <w:tc>
          <w:tcPr>
            <w:tcW w:type="dxa" w:w="4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Management team discussion</w:t>
            </w:r>
          </w:p>
        </w:tc>
        <w:tc>
          <w:tcPr>
            <w:tcW w:type="dxa" w:w="1800"/>
            <w:tcBorders>
              <w:top w:val="single" w:color="BFBFBF" w:sz="1"/>
              <w:left w:val="single" w:color="BFBFBF" w:sz="1"/>
              <w:bottom w:val="single" w:color="BFBFBF" w:sz="1"/>
              <w:right w:val="single" w:color="BFBFBF" w:sz="1"/>
            </w:tcBorders>
            <w:shd w:fill="FFC7CE" w:val="clear"/>
            <w:tcMar>
              <w:top w:type="dxa" w:w="60"/>
              <w:left w:type="dxa" w:w="100"/>
              <w:bottom w:type="dxa" w:w="60"/>
              <w:right w:type="dxa" w:w="100"/>
            </w:tcMar>
          </w:tcPr>
          <w:p>
            <w:r>
              <w:rPr>
                <w:rFonts w:ascii="Arial" w:cs="Arial" w:eastAsia="Arial" w:hAnsi="Arial"/>
                <w:sz w:val="20"/>
                <w:szCs w:val="20"/>
              </w:rPr>
              <w:t xml:space="preserve">MISSING</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No mention of CEO David Potts or mgmt incentives.</w:t>
            </w:r>
          </w:p>
        </w:tc>
      </w:tr>
    </w:tbl>
    <w:p>
      <w:pPr>
        <w:pStyle w:val="Heading2"/>
        <w:spacing w:after="160" w:before="280"/>
      </w:pPr>
      <w:r>
        <w:rPr>
          <w:rFonts w:ascii="Arial" w:cs="Arial" w:eastAsia="Arial" w:hAnsi="Arial"/>
        </w:rPr>
        <w:t xml:space="preserve">LBO Model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320"/>
        <w:gridCol w:w="1800"/>
        <w:gridCol w:w="3600"/>
      </w:tblGrid>
      <w:tr>
        <w:tc>
          <w:tcPr>
            <w:tcW w:type="dxa" w:w="432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Element</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Notes</w:t>
            </w:r>
          </w:p>
        </w:tc>
      </w:tr>
      <w:tr>
        <w:tc>
          <w:tcPr>
            <w:tcW w:type="dxa" w:w="4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Assumptions tab (separated inputs)</w:t>
            </w:r>
          </w:p>
        </w:tc>
        <w:tc>
          <w:tcPr>
            <w:tcW w:type="dxa" w:w="1800"/>
            <w:tcBorders>
              <w:top w:val="single" w:color="BFBFBF" w:sz="1"/>
              <w:left w:val="single" w:color="BFBFBF" w:sz="1"/>
              <w:bottom w:val="single" w:color="BFBFBF" w:sz="1"/>
              <w:right w:val="single" w:color="BFBFBF" w:sz="1"/>
            </w:tcBorders>
            <w:shd w:fill="C6EFCE" w:val="clear"/>
            <w:tcMar>
              <w:top w:type="dxa" w:w="60"/>
              <w:left w:type="dxa" w:w="100"/>
              <w:bottom w:type="dxa" w:w="60"/>
              <w:right w:type="dxa" w:w="100"/>
            </w:tcMar>
          </w:tcPr>
          <w:p>
            <w:r>
              <w:rPr>
                <w:rFonts w:ascii="Arial" w:cs="Arial" w:eastAsia="Arial" w:hAnsi="Arial"/>
                <w:sz w:val="20"/>
                <w:szCs w:val="20"/>
              </w:rPr>
              <w:t xml:space="preserve">PRESENT</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Blue font inputs, yellow fill. Proper.</w:t>
            </w:r>
          </w:p>
        </w:tc>
      </w:tr>
      <w:tr>
        <w:tc>
          <w:tcPr>
            <w:tcW w:type="dxa" w:w="4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Sources &amp; Uses</w:t>
            </w:r>
          </w:p>
        </w:tc>
        <w:tc>
          <w:tcPr>
            <w:tcW w:type="dxa" w:w="1800"/>
            <w:tcBorders>
              <w:top w:val="single" w:color="BFBFBF" w:sz="1"/>
              <w:left w:val="single" w:color="BFBFBF" w:sz="1"/>
              <w:bottom w:val="single" w:color="BFBFBF" w:sz="1"/>
              <w:right w:val="single" w:color="BFBFBF" w:sz="1"/>
            </w:tcBorders>
            <w:shd w:fill="C6EFCE" w:val="clear"/>
            <w:tcMar>
              <w:top w:type="dxa" w:w="60"/>
              <w:left w:type="dxa" w:w="100"/>
              <w:bottom w:type="dxa" w:w="60"/>
              <w:right w:type="dxa" w:w="100"/>
            </w:tcMar>
          </w:tcPr>
          <w:p>
            <w:r>
              <w:rPr>
                <w:rFonts w:ascii="Arial" w:cs="Arial" w:eastAsia="Arial" w:hAnsi="Arial"/>
                <w:sz w:val="20"/>
                <w:szCs w:val="20"/>
              </w:rPr>
              <w:t xml:space="preserve">PRESENT</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Balances. Sponsor equity is plug.</w:t>
            </w:r>
          </w:p>
        </w:tc>
      </w:tr>
      <w:tr>
        <w:tc>
          <w:tcPr>
            <w:tcW w:type="dxa" w:w="4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Entry Valuation (EV, equity, fees)</w:t>
            </w:r>
          </w:p>
        </w:tc>
        <w:tc>
          <w:tcPr>
            <w:tcW w:type="dxa" w:w="1800"/>
            <w:tcBorders>
              <w:top w:val="single" w:color="BFBFBF" w:sz="1"/>
              <w:left w:val="single" w:color="BFBFBF" w:sz="1"/>
              <w:bottom w:val="single" w:color="BFBFBF" w:sz="1"/>
              <w:right w:val="single" w:color="BFBFBF" w:sz="1"/>
            </w:tcBorders>
            <w:shd w:fill="C6EFCE" w:val="clear"/>
            <w:tcMar>
              <w:top w:type="dxa" w:w="60"/>
              <w:left w:type="dxa" w:w="100"/>
              <w:bottom w:type="dxa" w:w="60"/>
              <w:right w:type="dxa" w:w="100"/>
            </w:tcMar>
          </w:tcPr>
          <w:p>
            <w:r>
              <w:rPr>
                <w:rFonts w:ascii="Arial" w:cs="Arial" w:eastAsia="Arial" w:hAnsi="Arial"/>
                <w:sz w:val="20"/>
                <w:szCs w:val="20"/>
              </w:rPr>
              <w:t xml:space="preserve">PRESENT</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Includes fees and pension.</w:t>
            </w:r>
          </w:p>
        </w:tc>
      </w:tr>
      <w:tr>
        <w:tc>
          <w:tcPr>
            <w:tcW w:type="dxa" w:w="4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Operating Model (revenue, margins, FCF)</w:t>
            </w:r>
          </w:p>
        </w:tc>
        <w:tc>
          <w:tcPr>
            <w:tcW w:type="dxa" w:w="1800"/>
            <w:tcBorders>
              <w:top w:val="single" w:color="BFBFBF" w:sz="1"/>
              <w:left w:val="single" w:color="BFBFBF" w:sz="1"/>
              <w:bottom w:val="single" w:color="BFBFBF" w:sz="1"/>
              <w:right w:val="single" w:color="BFBFBF" w:sz="1"/>
            </w:tcBorders>
            <w:shd w:fill="C6EFCE" w:val="clear"/>
            <w:tcMar>
              <w:top w:type="dxa" w:w="60"/>
              <w:left w:type="dxa" w:w="100"/>
              <w:bottom w:type="dxa" w:w="60"/>
              <w:right w:type="dxa" w:w="100"/>
            </w:tcMar>
          </w:tcPr>
          <w:p>
            <w:r>
              <w:rPr>
                <w:rFonts w:ascii="Arial" w:cs="Arial" w:eastAsia="Arial" w:hAnsi="Arial"/>
                <w:sz w:val="20"/>
                <w:szCs w:val="20"/>
              </w:rPr>
              <w:t xml:space="preserve">PRESENT</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Revenue → EBITDA → EBIT → UFCF.</w:t>
            </w:r>
          </w:p>
        </w:tc>
      </w:tr>
      <w:tr>
        <w:tc>
          <w:tcPr>
            <w:tcW w:type="dxa" w:w="4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Working Capital logic</w:t>
            </w:r>
          </w:p>
        </w:tc>
        <w:tc>
          <w:tcPr>
            <w:tcW w:type="dxa" w:w="1800"/>
            <w:tcBorders>
              <w:top w:val="single" w:color="BFBFBF" w:sz="1"/>
              <w:left w:val="single" w:color="BFBFBF" w:sz="1"/>
              <w:bottom w:val="single" w:color="BFBFBF" w:sz="1"/>
              <w:right w:val="single" w:color="BFBFBF" w:sz="1"/>
            </w:tcBorders>
            <w:shd w:fill="FFEB9C" w:val="clear"/>
            <w:tcMar>
              <w:top w:type="dxa" w:w="60"/>
              <w:left w:type="dxa" w:w="100"/>
              <w:bottom w:type="dxa" w:w="60"/>
              <w:right w:type="dxa" w:w="100"/>
            </w:tcMar>
          </w:tcPr>
          <w:p>
            <w:r>
              <w:rPr>
                <w:rFonts w:ascii="Arial" w:cs="Arial" w:eastAsia="Arial" w:hAnsi="Arial"/>
                <w:sz w:val="20"/>
                <w:szCs w:val="20"/>
              </w:rPr>
              <w:t xml:space="preserve">SIMPLIFIED</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 of ΔRevenue only. No line-item detail.</w:t>
            </w:r>
          </w:p>
        </w:tc>
      </w:tr>
      <w:tr>
        <w:tc>
          <w:tcPr>
            <w:tcW w:type="dxa" w:w="4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Capex assumptions</w:t>
            </w:r>
          </w:p>
        </w:tc>
        <w:tc>
          <w:tcPr>
            <w:tcW w:type="dxa" w:w="1800"/>
            <w:tcBorders>
              <w:top w:val="single" w:color="BFBFBF" w:sz="1"/>
              <w:left w:val="single" w:color="BFBFBF" w:sz="1"/>
              <w:bottom w:val="single" w:color="BFBFBF" w:sz="1"/>
              <w:right w:val="single" w:color="BFBFBF" w:sz="1"/>
            </w:tcBorders>
            <w:shd w:fill="C6EFCE" w:val="clear"/>
            <w:tcMar>
              <w:top w:type="dxa" w:w="60"/>
              <w:left w:type="dxa" w:w="100"/>
              <w:bottom w:type="dxa" w:w="60"/>
              <w:right w:type="dxa" w:w="100"/>
            </w:tcMar>
          </w:tcPr>
          <w:p>
            <w:r>
              <w:rPr>
                <w:rFonts w:ascii="Arial" w:cs="Arial" w:eastAsia="Arial" w:hAnsi="Arial"/>
                <w:sz w:val="20"/>
                <w:szCs w:val="20"/>
              </w:rPr>
              <w:t xml:space="preserve">PRESENT</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 of revenue. No maint/growth split.</w:t>
            </w:r>
          </w:p>
        </w:tc>
      </w:tr>
      <w:tr>
        <w:tc>
          <w:tcPr>
            <w:tcW w:type="dxa" w:w="4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Debt schedule (multiple tranches)</w:t>
            </w:r>
          </w:p>
        </w:tc>
        <w:tc>
          <w:tcPr>
            <w:tcW w:type="dxa" w:w="1800"/>
            <w:tcBorders>
              <w:top w:val="single" w:color="BFBFBF" w:sz="1"/>
              <w:left w:val="single" w:color="BFBFBF" w:sz="1"/>
              <w:bottom w:val="single" w:color="BFBFBF" w:sz="1"/>
              <w:right w:val="single" w:color="BFBFBF" w:sz="1"/>
            </w:tcBorders>
            <w:shd w:fill="C6EFCE" w:val="clear"/>
            <w:tcMar>
              <w:top w:type="dxa" w:w="60"/>
              <w:left w:type="dxa" w:w="100"/>
              <w:bottom w:type="dxa" w:w="60"/>
              <w:right w:type="dxa" w:w="100"/>
            </w:tcMar>
          </w:tcPr>
          <w:p>
            <w:r>
              <w:rPr>
                <w:rFonts w:ascii="Arial" w:cs="Arial" w:eastAsia="Arial" w:hAnsi="Arial"/>
                <w:sz w:val="20"/>
                <w:szCs w:val="20"/>
              </w:rPr>
              <w:t xml:space="preserve">PRESENT</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4 tranches: TLB, SSN, SUN, PIK prefs.</w:t>
            </w:r>
          </w:p>
        </w:tc>
      </w:tr>
      <w:tr>
        <w:tc>
          <w:tcPr>
            <w:tcW w:type="dxa" w:w="4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Interest calculations</w:t>
            </w:r>
          </w:p>
        </w:tc>
        <w:tc>
          <w:tcPr>
            <w:tcW w:type="dxa" w:w="1800"/>
            <w:tcBorders>
              <w:top w:val="single" w:color="BFBFBF" w:sz="1"/>
              <w:left w:val="single" w:color="BFBFBF" w:sz="1"/>
              <w:bottom w:val="single" w:color="BFBFBF" w:sz="1"/>
              <w:right w:val="single" w:color="BFBFBF" w:sz="1"/>
            </w:tcBorders>
            <w:shd w:fill="C6EFCE" w:val="clear"/>
            <w:tcMar>
              <w:top w:type="dxa" w:w="60"/>
              <w:left w:type="dxa" w:w="100"/>
              <w:bottom w:type="dxa" w:w="60"/>
              <w:right w:type="dxa" w:w="100"/>
            </w:tcMar>
          </w:tcPr>
          <w:p>
            <w:r>
              <w:rPr>
                <w:rFonts w:ascii="Arial" w:cs="Arial" w:eastAsia="Arial" w:hAnsi="Arial"/>
                <w:sz w:val="20"/>
                <w:szCs w:val="20"/>
              </w:rPr>
              <w:t xml:space="preserve">PRESENT</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BOP-based (not average). See issues.</w:t>
            </w:r>
          </w:p>
        </w:tc>
      </w:tr>
      <w:tr>
        <w:tc>
          <w:tcPr>
            <w:tcW w:type="dxa" w:w="4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Cash flow / cash sweep</w:t>
            </w:r>
          </w:p>
        </w:tc>
        <w:tc>
          <w:tcPr>
            <w:tcW w:type="dxa" w:w="1800"/>
            <w:tcBorders>
              <w:top w:val="single" w:color="BFBFBF" w:sz="1"/>
              <w:left w:val="single" w:color="BFBFBF" w:sz="1"/>
              <w:bottom w:val="single" w:color="BFBFBF" w:sz="1"/>
              <w:right w:val="single" w:color="BFBFBF" w:sz="1"/>
            </w:tcBorders>
            <w:shd w:fill="C6EFCE" w:val="clear"/>
            <w:tcMar>
              <w:top w:type="dxa" w:w="60"/>
              <w:left w:type="dxa" w:w="100"/>
              <w:bottom w:type="dxa" w:w="60"/>
              <w:right w:type="dxa" w:w="100"/>
            </w:tcMar>
          </w:tcPr>
          <w:p>
            <w:r>
              <w:rPr>
                <w:rFonts w:ascii="Arial" w:cs="Arial" w:eastAsia="Arial" w:hAnsi="Arial"/>
                <w:sz w:val="20"/>
                <w:szCs w:val="20"/>
              </w:rPr>
              <w:t xml:space="preserve">PRESENT</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50% sweep on TLB. Correctly capped.</w:t>
            </w:r>
          </w:p>
        </w:tc>
      </w:tr>
      <w:tr>
        <w:tc>
          <w:tcPr>
            <w:tcW w:type="dxa" w:w="4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Exit assumptions (multiple + timing)</w:t>
            </w:r>
          </w:p>
        </w:tc>
        <w:tc>
          <w:tcPr>
            <w:tcW w:type="dxa" w:w="1800"/>
            <w:tcBorders>
              <w:top w:val="single" w:color="BFBFBF" w:sz="1"/>
              <w:left w:val="single" w:color="BFBFBF" w:sz="1"/>
              <w:bottom w:val="single" w:color="BFBFBF" w:sz="1"/>
              <w:right w:val="single" w:color="BFBFBF" w:sz="1"/>
            </w:tcBorders>
            <w:shd w:fill="C6EFCE" w:val="clear"/>
            <w:tcMar>
              <w:top w:type="dxa" w:w="60"/>
              <w:left w:type="dxa" w:w="100"/>
              <w:bottom w:type="dxa" w:w="60"/>
              <w:right w:type="dxa" w:w="100"/>
            </w:tcMar>
          </w:tcPr>
          <w:p>
            <w:r>
              <w:rPr>
                <w:rFonts w:ascii="Arial" w:cs="Arial" w:eastAsia="Arial" w:hAnsi="Arial"/>
                <w:sz w:val="20"/>
                <w:szCs w:val="20"/>
              </w:rPr>
              <w:t xml:space="preserve">PRESENT</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3 scenarios: 7.5x/8.5x/9.0x, 5yr hold.</w:t>
            </w:r>
          </w:p>
        </w:tc>
      </w:tr>
      <w:tr>
        <w:tc>
          <w:tcPr>
            <w:tcW w:type="dxa" w:w="4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Returns (IRR, MoM)</w:t>
            </w:r>
          </w:p>
        </w:tc>
        <w:tc>
          <w:tcPr>
            <w:tcW w:type="dxa" w:w="1800"/>
            <w:tcBorders>
              <w:top w:val="single" w:color="BFBFBF" w:sz="1"/>
              <w:left w:val="single" w:color="BFBFBF" w:sz="1"/>
              <w:bottom w:val="single" w:color="BFBFBF" w:sz="1"/>
              <w:right w:val="single" w:color="BFBFBF" w:sz="1"/>
            </w:tcBorders>
            <w:shd w:fill="C6EFCE" w:val="clear"/>
            <w:tcMar>
              <w:top w:type="dxa" w:w="60"/>
              <w:left w:type="dxa" w:w="100"/>
              <w:bottom w:type="dxa" w:w="60"/>
              <w:right w:type="dxa" w:w="100"/>
            </w:tcMar>
          </w:tcPr>
          <w:p>
            <w:r>
              <w:rPr>
                <w:rFonts w:ascii="Arial" w:cs="Arial" w:eastAsia="Arial" w:hAnsi="Arial"/>
                <w:sz w:val="20"/>
                <w:szCs w:val="20"/>
              </w:rPr>
              <w:t xml:space="preserve">PRESENT</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3 scenarios. IRR is approximate — see issues.</w:t>
            </w:r>
          </w:p>
        </w:tc>
      </w:tr>
      <w:tr>
        <w:tc>
          <w:tcPr>
            <w:tcW w:type="dxa" w:w="4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Sensitivity tables</w:t>
            </w:r>
          </w:p>
        </w:tc>
        <w:tc>
          <w:tcPr>
            <w:tcW w:type="dxa" w:w="1800"/>
            <w:tcBorders>
              <w:top w:val="single" w:color="BFBFBF" w:sz="1"/>
              <w:left w:val="single" w:color="BFBFBF" w:sz="1"/>
              <w:bottom w:val="single" w:color="BFBFBF" w:sz="1"/>
              <w:right w:val="single" w:color="BFBFBF" w:sz="1"/>
            </w:tcBorders>
            <w:shd w:fill="FFEB9C" w:val="clear"/>
            <w:tcMar>
              <w:top w:type="dxa" w:w="60"/>
              <w:left w:type="dxa" w:w="100"/>
              <w:bottom w:type="dxa" w:w="60"/>
              <w:right w:type="dxa" w:w="100"/>
            </w:tcMar>
          </w:tcPr>
          <w:p>
            <w:r>
              <w:rPr>
                <w:rFonts w:ascii="Arial" w:cs="Arial" w:eastAsia="Arial" w:hAnsi="Arial"/>
                <w:sz w:val="20"/>
                <w:szCs w:val="20"/>
              </w:rPr>
              <w:t xml:space="preserve">PARTIAL</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IRR table works. MoM table is BROKEN.</w:t>
            </w:r>
          </w:p>
        </w:tc>
      </w:tr>
      <w:tr>
        <w:tc>
          <w:tcPr>
            <w:tcW w:type="dxa" w:w="4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Charts / summary outputs</w:t>
            </w:r>
          </w:p>
        </w:tc>
        <w:tc>
          <w:tcPr>
            <w:tcW w:type="dxa" w:w="1800"/>
            <w:tcBorders>
              <w:top w:val="single" w:color="BFBFBF" w:sz="1"/>
              <w:left w:val="single" w:color="BFBFBF" w:sz="1"/>
              <w:bottom w:val="single" w:color="BFBFBF" w:sz="1"/>
              <w:right w:val="single" w:color="BFBFBF" w:sz="1"/>
            </w:tcBorders>
            <w:shd w:fill="FFEB9C" w:val="clear"/>
            <w:tcMar>
              <w:top w:type="dxa" w:w="60"/>
              <w:left w:type="dxa" w:w="100"/>
              <w:bottom w:type="dxa" w:w="60"/>
              <w:right w:type="dxa" w:w="100"/>
            </w:tcMar>
          </w:tcPr>
          <w:p>
            <w:r>
              <w:rPr>
                <w:rFonts w:ascii="Arial" w:cs="Arial" w:eastAsia="Arial" w:hAnsi="Arial"/>
                <w:sz w:val="20"/>
                <w:szCs w:val="20"/>
              </w:rPr>
              <w:t xml:space="preserve">WEAK</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Summary tab has data but no actual charts.</w:t>
            </w:r>
          </w:p>
        </w:tc>
      </w:tr>
      <w:tr>
        <w:tc>
          <w:tcPr>
            <w:tcW w:type="dxa" w:w="4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Balance Sheet</w:t>
            </w:r>
          </w:p>
        </w:tc>
        <w:tc>
          <w:tcPr>
            <w:tcW w:type="dxa" w:w="1800"/>
            <w:tcBorders>
              <w:top w:val="single" w:color="BFBFBF" w:sz="1"/>
              <w:left w:val="single" w:color="BFBFBF" w:sz="1"/>
              <w:bottom w:val="single" w:color="BFBFBF" w:sz="1"/>
              <w:right w:val="single" w:color="BFBFBF" w:sz="1"/>
            </w:tcBorders>
            <w:shd w:fill="FFC7CE" w:val="clear"/>
            <w:tcMar>
              <w:top w:type="dxa" w:w="60"/>
              <w:left w:type="dxa" w:w="100"/>
              <w:bottom w:type="dxa" w:w="60"/>
              <w:right w:type="dxa" w:w="100"/>
            </w:tcMar>
          </w:tcPr>
          <w:p>
            <w:r>
              <w:rPr>
                <w:rFonts w:ascii="Arial" w:cs="Arial" w:eastAsia="Arial" w:hAnsi="Arial"/>
                <w:sz w:val="20"/>
                <w:szCs w:val="20"/>
              </w:rPr>
              <w:t xml:space="preserve">MISSING</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No projected BS. Would elevate significantly.</w:t>
            </w:r>
          </w:p>
        </w:tc>
      </w:tr>
      <w:tr>
        <w:tc>
          <w:tcPr>
            <w:tcW w:type="dxa" w:w="4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Credit metrics (DSCR, interest coverage)</w:t>
            </w:r>
          </w:p>
        </w:tc>
        <w:tc>
          <w:tcPr>
            <w:tcW w:type="dxa" w:w="1800"/>
            <w:tcBorders>
              <w:top w:val="single" w:color="BFBFBF" w:sz="1"/>
              <w:left w:val="single" w:color="BFBFBF" w:sz="1"/>
              <w:bottom w:val="single" w:color="BFBFBF" w:sz="1"/>
              <w:right w:val="single" w:color="BFBFBF" w:sz="1"/>
            </w:tcBorders>
            <w:shd w:fill="FFC7CE" w:val="clear"/>
            <w:tcMar>
              <w:top w:type="dxa" w:w="60"/>
              <w:left w:type="dxa" w:w="100"/>
              <w:bottom w:type="dxa" w:w="60"/>
              <w:right w:type="dxa" w:w="100"/>
            </w:tcMar>
          </w:tcPr>
          <w:p>
            <w:r>
              <w:rPr>
                <w:rFonts w:ascii="Arial" w:cs="Arial" w:eastAsia="Arial" w:hAnsi="Arial"/>
                <w:sz w:val="20"/>
                <w:szCs w:val="20"/>
              </w:rPr>
              <w:t xml:space="preserve">MISSING</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No ICR or fixed charge coverage.</w:t>
            </w:r>
          </w:p>
        </w:tc>
      </w:tr>
    </w:tbl>
    <w:p>
      <w:pPr>
        <w:pStyle w:val="Heading2"/>
        <w:spacing w:after="160" w:before="280"/>
      </w:pPr>
      <w:r>
        <w:rPr>
          <w:rFonts w:ascii="Arial" w:cs="Arial" w:eastAsia="Arial" w:hAnsi="Arial"/>
        </w:rPr>
        <w:t xml:space="preserve">Integration (Model ↔ Narrative)</w:t>
      </w:r>
    </w:p>
    <w:p>
      <w:pPr>
        <w:spacing w:after="160"/>
      </w:pPr>
      <w:r>
        <w:rPr>
          <w:rFonts w:ascii="Arial" w:cs="Arial" w:eastAsia="Arial" w:hAnsi="Arial"/>
          <w:color w:val="008000"/>
          <w:sz w:val="21"/>
          <w:szCs w:val="21"/>
        </w:rPr>
        <w:t xml:space="preserve">Strong.</w:t>
      </w:r>
      <w:r>
        <w:rPr>
          <w:rFonts w:ascii="Arial" w:cs="Arial" w:eastAsia="Arial" w:hAnsi="Arial"/>
          <w:sz w:val="21"/>
          <w:szCs w:val="21"/>
        </w:rPr>
        <w:t xml:space="preserve"> The write-up directly references model outputs: “margin expansion from 6.1% to 7.2%,” “IRR of 8.1%,” “debt paydown contributes only £37m.” This is exactly what differentiates analyst-level work from student essays. One minor inconsistency: the exec summary says “1.5x MoM” but the model calculates 1.48x — should be rounded to “1.5x” explicitly or stated as “~1.5x.”</w:t>
      </w:r>
    </w:p>
    <w:p>
      <w:r>
        <w:br w:type="page"/>
      </w:r>
    </w:p>
    <w:p>
      <w:pPr>
        <w:pStyle w:val="Heading1"/>
        <w:spacing w:after="200" w:before="360"/>
      </w:pPr>
      <w:r>
        <w:rPr>
          <w:rFonts w:ascii="Arial" w:cs="Arial" w:eastAsia="Arial" w:hAnsi="Arial"/>
        </w:rPr>
        <w:t xml:space="preserve">C. Technical Issues (Formulas &amp; Logic)</w:t>
      </w:r>
    </w:p>
    <w:p>
      <w:pPr>
        <w:pStyle w:val="Heading2"/>
        <w:spacing w:after="160" w:before="280"/>
      </w:pPr>
      <w:r>
        <w:rPr>
          <w:rFonts w:ascii="Arial" w:cs="Arial" w:eastAsia="Arial" w:hAnsi="Arial"/>
        </w:rPr>
        <w:t xml:space="preserve">CRITICAL Issues (Must Fix)</w:t>
      </w:r>
    </w:p>
    <w:p>
      <w:pPr>
        <w:pStyle w:val="Heading3"/>
        <w:spacing w:after="120" w:before="200"/>
      </w:pPr>
      <w:r>
        <w:rPr>
          <w:rFonts w:ascii="Arial" w:cs="Arial" w:eastAsia="Arial" w:hAnsi="Arial"/>
        </w:rPr>
        <w:t xml:space="preserve">1. Assumptions Tab: EBIT Formula is Wrong</w:t>
      </w:r>
    </w:p>
    <w:p>
      <w:pPr>
        <w:spacing w:after="160"/>
      </w:pPr>
      <w:r>
        <w:rPr>
          <w:rFonts w:ascii="Arial" w:cs="Arial" w:eastAsia="Arial" w:hAnsi="Arial"/>
          <w:sz w:val="21"/>
          <w:szCs w:val="21"/>
        </w:rPr>
        <w:t xml:space="preserve">Cell C25 formula is </w:t>
      </w:r>
      <w:r>
        <w:rPr>
          <w:rFonts w:ascii="Arial" w:cs="Arial" w:eastAsia="Arial" w:hAnsi="Arial"/>
          <w:b/>
          <w:bCs/>
          <w:color w:val="CC0000"/>
          <w:sz w:val="21"/>
          <w:szCs w:val="21"/>
        </w:rPr>
        <w:t xml:space="preserve">=C21−C24 (Revenue − D&amp;A = £17,000m)</w:t>
      </w:r>
      <w:r>
        <w:rPr>
          <w:rFonts w:ascii="Arial" w:cs="Arial" w:eastAsia="Arial" w:hAnsi="Arial"/>
          <w:sz w:val="21"/>
          <w:szCs w:val="21"/>
        </w:rPr>
        <w:t xml:space="preserve">. It should be </w:t>
      </w:r>
      <w:r>
        <w:rPr>
          <w:rFonts w:ascii="Arial" w:cs="Arial" w:eastAsia="Arial" w:hAnsi="Arial"/>
          <w:b/>
          <w:bCs/>
          <w:sz w:val="21"/>
          <w:szCs w:val="21"/>
        </w:rPr>
        <w:t xml:space="preserve">=C22−C24 (EBITDA − D&amp;A = £513m)</w:t>
      </w:r>
      <w:r>
        <w:rPr>
          <w:rFonts w:ascii="Arial" w:cs="Arial" w:eastAsia="Arial" w:hAnsi="Arial"/>
          <w:sz w:val="21"/>
          <w:szCs w:val="21"/>
        </w:rPr>
        <w:t xml:space="preserve">. This means the Assumptions tab displays EBIT of £17 billion for a grocery retailer — an obvious absurdity that would immediately destroy credibility in any review. The Operating Model tab calculates its own EBIT correctly, so the error is isolated to the Assumptions tab display, but anyone reading that sheet will see it.</w:t>
      </w:r>
    </w:p>
    <w:p>
      <w:pPr>
        <w:spacing w:after="160"/>
      </w:pPr>
      <w:r>
        <w:rPr>
          <w:rFonts w:ascii="Arial" w:cs="Arial" w:eastAsia="Arial" w:hAnsi="Arial"/>
          <w:i/>
          <w:iCs/>
          <w:color w:val="666666"/>
          <w:sz w:val="21"/>
          <w:szCs w:val="21"/>
        </w:rPr>
        <w:t xml:space="preserve">Severity: CRITICAL. Fix: Change C25 to =C22−C24.</w:t>
      </w:r>
    </w:p>
    <w:p>
      <w:pPr>
        <w:pStyle w:val="Heading3"/>
        <w:spacing w:after="120" w:before="200"/>
      </w:pPr>
      <w:r>
        <w:rPr>
          <w:rFonts w:ascii="Arial" w:cs="Arial" w:eastAsia="Arial" w:hAnsi="Arial"/>
        </w:rPr>
        <w:t xml:space="preserve">2. Sensitivity Table 2 (MoM vs. Leverage) is Completely Broken</w:t>
      </w:r>
    </w:p>
    <w:p>
      <w:pPr>
        <w:spacing w:after="160"/>
      </w:pPr>
      <w:r>
        <w:rPr>
          <w:rFonts w:ascii="Arial" w:cs="Arial" w:eastAsia="Arial" w:hAnsi="Arial"/>
          <w:sz w:val="21"/>
          <w:szCs w:val="21"/>
        </w:rPr>
        <w:t xml:space="preserve">The MoM sensitivity table produces </w:t>
      </w:r>
      <w:r>
        <w:rPr>
          <w:rFonts w:ascii="Arial" w:cs="Arial" w:eastAsia="Arial" w:hAnsi="Arial"/>
          <w:b/>
          <w:bCs/>
          <w:color w:val="CC0000"/>
          <w:sz w:val="21"/>
          <w:szCs w:val="21"/>
        </w:rPr>
        <w:t xml:space="preserve">entirely negative values</w:t>
      </w:r>
      <w:r>
        <w:rPr>
          <w:rFonts w:ascii="Arial" w:cs="Arial" w:eastAsia="Arial" w:hAnsi="Arial"/>
          <w:sz w:val="21"/>
          <w:szCs w:val="21"/>
        </w:rPr>
        <w:t xml:space="preserve"> (e.g. −0.96x at 4.0x leverage / 7.0x exit). The denominator formula uses </w:t>
      </w:r>
      <w:r>
        <w:rPr>
          <w:rFonts w:ascii="Arial" w:cs="Arial" w:eastAsia="Arial" w:hAnsi="Arial"/>
          <w:b/>
          <w:bCs/>
          <w:color w:val="CC0000"/>
          <w:sz w:val="21"/>
          <w:szCs w:val="21"/>
        </w:rPr>
        <w:t xml:space="preserve">Assumptions!C17 (Pension Deficit = £350m)</w:t>
      </w:r>
      <w:r>
        <w:rPr>
          <w:rFonts w:ascii="Arial" w:cs="Arial" w:eastAsia="Arial" w:hAnsi="Arial"/>
          <w:sz w:val="21"/>
          <w:szCs w:val="21"/>
        </w:rPr>
        <w:t xml:space="preserve"> instead of </w:t>
      </w:r>
      <w:r>
        <w:rPr>
          <w:rFonts w:ascii="Arial" w:cs="Arial" w:eastAsia="Arial" w:hAnsi="Arial"/>
          <w:b/>
          <w:bCs/>
          <w:sz w:val="21"/>
          <w:szCs w:val="21"/>
        </w:rPr>
        <w:t xml:space="preserve">Assumptions!C18 (Enterprise Value = £9,878m)</w:t>
      </w:r>
      <w:r>
        <w:rPr>
          <w:rFonts w:ascii="Arial" w:cs="Arial" w:eastAsia="Arial" w:hAnsi="Arial"/>
          <w:sz w:val="21"/>
          <w:szCs w:val="21"/>
        </w:rPr>
        <w:t xml:space="preserve">. This means every entry equity calculation in the table is wrong. The formula computes (ExitEV − ExitDebt) / (350 − EBITDA×Leverage), which produces nonsensical negatives.</w:t>
      </w:r>
    </w:p>
    <w:p>
      <w:pPr>
        <w:spacing w:after="160"/>
      </w:pPr>
      <w:r>
        <w:rPr>
          <w:rFonts w:ascii="Arial" w:cs="Arial" w:eastAsia="Arial" w:hAnsi="Arial"/>
          <w:i/>
          <w:iCs/>
          <w:color w:val="666666"/>
          <w:sz w:val="21"/>
          <w:szCs w:val="21"/>
        </w:rPr>
        <w:t xml:space="preserve">Severity: CRITICAL. Fix: Replace C17 with C18 in all Sensitivity MoM formulas. Formula should be: (ExitEBITDA × ExitMult − ExitDebt) / (EV − EBITDA × Leverage).</w:t>
      </w:r>
    </w:p>
    <w:p>
      <w:pPr>
        <w:pStyle w:val="Heading2"/>
        <w:spacing w:after="160" w:before="280"/>
      </w:pPr>
      <w:r>
        <w:rPr>
          <w:rFonts w:ascii="Arial" w:cs="Arial" w:eastAsia="Arial" w:hAnsi="Arial"/>
        </w:rPr>
        <w:t xml:space="preserve">MODERATE Issues</w:t>
      </w:r>
    </w:p>
    <w:p>
      <w:pPr>
        <w:pStyle w:val="Heading3"/>
        <w:spacing w:after="120" w:before="200"/>
      </w:pPr>
      <w:r>
        <w:rPr>
          <w:rFonts w:ascii="Arial" w:cs="Arial" w:eastAsia="Arial" w:hAnsi="Arial"/>
        </w:rPr>
        <w:t xml:space="preserve">3. IRR Calculation is an Approximation, Not True IRR</w:t>
      </w:r>
    </w:p>
    <w:p>
      <w:pPr>
        <w:spacing w:after="160"/>
      </w:pPr>
      <w:r>
        <w:rPr>
          <w:rFonts w:ascii="Arial" w:cs="Arial" w:eastAsia="Arial" w:hAnsi="Arial"/>
          <w:sz w:val="21"/>
          <w:szCs w:val="21"/>
        </w:rPr>
        <w:t xml:space="preserve">The model uses MoM^(1/5)−1 to calculate IRR. This is a geometric return that assumes zero interim cash flows and equal annual compounding. A PE model should use Excel’s IRR() or XIRR() function on a row of actual cash flows: negative equity at Year 0, zero for Years 1–4 (no dividends), and positive exit equity at Year 5. For this particular deal the difference is small (since there are no interim distributions), but the methodology is wrong on principle and an interviewer will notice.</w:t>
      </w:r>
    </w:p>
    <w:p>
      <w:pPr>
        <w:spacing w:after="160"/>
      </w:pPr>
      <w:r>
        <w:rPr>
          <w:rFonts w:ascii="Arial" w:cs="Arial" w:eastAsia="Arial" w:hAnsi="Arial"/>
          <w:i/>
          <w:iCs/>
          <w:color w:val="666666"/>
          <w:sz w:val="21"/>
          <w:szCs w:val="21"/>
        </w:rPr>
        <w:t xml:space="preserve">Severity: MODERATE. Fix: Add a cash flow row (−equity, 0, 0, 0, 0, +exit equity) and use =IRR().</w:t>
      </w:r>
    </w:p>
    <w:p>
      <w:pPr>
        <w:pStyle w:val="Heading3"/>
        <w:spacing w:after="120" w:before="200"/>
      </w:pPr>
      <w:r>
        <w:rPr>
          <w:rFonts w:ascii="Arial" w:cs="Arial" w:eastAsia="Arial" w:hAnsi="Arial"/>
        </w:rPr>
        <w:t xml:space="preserve">4. Summary Tab D9: Wrong Formula After Fix</w:t>
      </w:r>
    </w:p>
    <w:p>
      <w:pPr>
        <w:spacing w:after="160"/>
      </w:pPr>
      <w:r>
        <w:rPr>
          <w:rFonts w:ascii="Arial" w:cs="Arial" w:eastAsia="Arial" w:hAnsi="Arial"/>
          <w:sz w:val="21"/>
          <w:szCs w:val="21"/>
        </w:rPr>
        <w:t xml:space="preserve">Cell D9 is labelled “Total Debt / EBITDA” but the formula is =IFERROR(‘Operating Model’!D8/‘Operating Model’!D5,0), which computes EBITDA/Revenue (i.e. EBITDA margin = 6.2%). The C9 cell correctly shows 5.84x. This was likely introduced during a bug fix that overwrote the original formula with the wrong one.</w:t>
      </w:r>
    </w:p>
    <w:p>
      <w:pPr>
        <w:spacing w:after="160"/>
      </w:pPr>
      <w:r>
        <w:rPr>
          <w:rFonts w:ascii="Arial" w:cs="Arial" w:eastAsia="Arial" w:hAnsi="Arial"/>
          <w:i/>
          <w:iCs/>
          <w:color w:val="666666"/>
          <w:sz w:val="21"/>
          <w:szCs w:val="21"/>
        </w:rPr>
        <w:t xml:space="preserve">Severity: MODERATE. Fix: D9 should be =IFERROR(‘Debt Schedule’!D37/‘Operating Model’!D8,0).</w:t>
      </w:r>
    </w:p>
    <w:p>
      <w:pPr>
        <w:pStyle w:val="Heading3"/>
        <w:spacing w:after="120" w:before="200"/>
      </w:pPr>
      <w:r>
        <w:rPr>
          <w:rFonts w:ascii="Arial" w:cs="Arial" w:eastAsia="Arial" w:hAnsi="Arial"/>
        </w:rPr>
        <w:t xml:space="preserve">5. Value Bridge Does Not Reconcile (£450m Gap)</w:t>
      </w:r>
    </w:p>
    <w:p>
      <w:pPr>
        <w:spacing w:after="160"/>
      </w:pPr>
      <w:r>
        <w:rPr>
          <w:rFonts w:ascii="Arial" w:cs="Arial" w:eastAsia="Arial" w:hAnsi="Arial"/>
          <w:sz w:val="21"/>
          <w:szCs w:val="21"/>
        </w:rPr>
        <w:t xml:space="preserve">The value creation bridge (Returns tab) sums to £6,409m but the actual base case exit equity is £5,959m, a £450m gap. This is because the additive bridge (EBITDA Growth + Multiple Change + Debt Paydown) misses the cross-term (change in EBITDA × change in multiple) and doesn’t account for transaction fees/pension that sit in the entry equity but not in the EV-to-equity bridge. In a PE fund, this check cell would be flagged immediately.</w:t>
      </w:r>
    </w:p>
    <w:p>
      <w:pPr>
        <w:spacing w:after="160"/>
      </w:pPr>
      <w:r>
        <w:rPr>
          <w:rFonts w:ascii="Arial" w:cs="Arial" w:eastAsia="Arial" w:hAnsi="Arial"/>
          <w:i/>
          <w:iCs/>
          <w:color w:val="666666"/>
          <w:sz w:val="21"/>
          <w:szCs w:val="21"/>
        </w:rPr>
        <w:t xml:space="preserve">Severity: MODERATE. Fix: Either add a “Cross-effects / Fees” reconciliation line, or restructure the bridge as: Entry Equity + ΔEV − ΔDebt = Exit Equity.</w:t>
      </w:r>
    </w:p>
    <w:p>
      <w:pPr>
        <w:pStyle w:val="Heading2"/>
        <w:spacing w:after="160" w:before="280"/>
      </w:pPr>
      <w:r>
        <w:rPr>
          <w:rFonts w:ascii="Arial" w:cs="Arial" w:eastAsia="Arial" w:hAnsi="Arial"/>
        </w:rPr>
        <w:t xml:space="preserve">MINOR Issues</w:t>
      </w:r>
    </w:p>
    <w:p>
      <w:pPr>
        <w:pStyle w:val="Heading3"/>
        <w:spacing w:after="120" w:before="200"/>
      </w:pPr>
      <w:r>
        <w:rPr>
          <w:rFonts w:ascii="Arial" w:cs="Arial" w:eastAsia="Arial" w:hAnsi="Arial"/>
        </w:rPr>
        <w:t xml:space="preserve">6. Interest Calculated on BOP Only</w:t>
      </w:r>
    </w:p>
    <w:p>
      <w:pPr>
        <w:spacing w:after="160"/>
      </w:pPr>
      <w:r>
        <w:rPr>
          <w:rFonts w:ascii="Arial" w:cs="Arial" w:eastAsia="Arial" w:hAnsi="Arial"/>
          <w:sz w:val="21"/>
          <w:szCs w:val="21"/>
        </w:rPr>
        <w:t xml:space="preserve">All interest is computed on beginning-of-period balance rather than the average of BOP and EOP. This is a common simplification used to avoid circular references (interest → cash flow → debt balance → interest). It’s acceptable in a portfolio piece, but a production PE model would either use average balance with iterative calculations enabled, or use a copy-paste macro to break the circularity. Worth noting in a model walkthrough.</w:t>
      </w:r>
    </w:p>
    <w:p>
      <w:pPr>
        <w:pStyle w:val="Heading3"/>
        <w:spacing w:after="120" w:before="200"/>
      </w:pPr>
      <w:r>
        <w:rPr>
          <w:rFonts w:ascii="Arial" w:cs="Arial" w:eastAsia="Arial" w:hAnsi="Arial"/>
        </w:rPr>
        <w:t xml:space="preserve">7. No LTM Unlevered Free Cash Flow</w:t>
      </w:r>
    </w:p>
    <w:p>
      <w:pPr>
        <w:spacing w:after="160"/>
      </w:pPr>
      <w:r>
        <w:rPr>
          <w:rFonts w:ascii="Arial" w:cs="Arial" w:eastAsia="Arial" w:hAnsi="Arial"/>
          <w:sz w:val="21"/>
          <w:szCs w:val="21"/>
        </w:rPr>
        <w:t xml:space="preserve">The Operating Model’s UFCF row is blank for the LTM (entry) column. This is fine for the LBO mechanics, but including a “pro forma” LTM UFCF would provide a useful reference point and show UFCF yield on entry equity.</w:t>
      </w:r>
    </w:p>
    <w:p>
      <w:pPr>
        <w:pStyle w:val="Heading3"/>
        <w:spacing w:after="120" w:before="200"/>
      </w:pPr>
      <w:r>
        <w:rPr>
          <w:rFonts w:ascii="Arial" w:cs="Arial" w:eastAsia="Arial" w:hAnsi="Arial"/>
        </w:rPr>
        <w:t xml:space="preserve">8. Working Capital is Overly Simplified</w:t>
      </w:r>
    </w:p>
    <w:p>
      <w:pPr>
        <w:spacing w:after="160"/>
      </w:pPr>
      <w:r>
        <w:rPr>
          <w:rFonts w:ascii="Arial" w:cs="Arial" w:eastAsia="Arial" w:hAnsi="Arial"/>
          <w:sz w:val="21"/>
          <w:szCs w:val="21"/>
        </w:rPr>
        <w:t xml:space="preserve">NWC is modelled as −2% of ΔRevenue. In reality, UK grocery has negative working capital (suppliers are paid on longer terms than customers pay). A more granular approach would model days payable, days receivable, and days inventory separately. This is a common simplification in LBO models, but for a sector where WC dynamics are a genuine competitive advantage, it’s a missed opportunity.</w:t>
      </w:r>
    </w:p>
    <w:p>
      <w:r>
        <w:br w:type="page"/>
      </w:r>
    </w:p>
    <w:p>
      <w:pPr>
        <w:pStyle w:val="Heading1"/>
        <w:spacing w:after="200" w:before="360"/>
      </w:pPr>
      <w:r>
        <w:rPr>
          <w:rFonts w:ascii="Arial" w:cs="Arial" w:eastAsia="Arial" w:hAnsi="Arial"/>
        </w:rPr>
        <w:t xml:space="preserve">D. Realism Assessment</w:t>
      </w:r>
    </w:p>
    <w:p>
      <w:pPr>
        <w:pStyle w:val="Heading2"/>
        <w:spacing w:after="160" w:before="280"/>
      </w:pPr>
      <w:r>
        <w:rPr>
          <w:rFonts w:ascii="Arial" w:cs="Arial" w:eastAsia="Arial" w:hAnsi="Arial"/>
        </w:rPr>
        <w:t xml:space="preserve">What Feels Realistic</w:t>
      </w:r>
    </w:p>
    <w:p>
      <w:pPr>
        <w:spacing w:after="160"/>
      </w:pPr>
      <w:r>
        <w:rPr>
          <w:rFonts w:ascii="Arial" w:cs="Arial" w:eastAsia="Arial" w:hAnsi="Arial"/>
          <w:sz w:val="21"/>
          <w:szCs w:val="21"/>
        </w:rPr>
        <w:t xml:space="preserve">Entry leverage of 5.8x is close to the actual deal (∼6.0–6.2x including all forms). Revenue growth of 2–3% is appropriately conservative for a mature UK grocer. The four-tranche debt structure (TLB + secured notes + unsecured notes + PIK prefs) mirrors the actual financing. The exit multiple of 8.5x being below entry (9.2x) shows intellectual honesty — many student models assume multiple expansion, which is unrealistic for a deal bought at auction premium. The base case IRR of 8.1% is deliberately below PE hurdle rates, which is exactly right for a competitive auction. This is the single most impressive modelling decision in the project: it shows you understand that not every deal generates a 20%+ return.</w:t>
      </w:r>
    </w:p>
    <w:p>
      <w:pPr>
        <w:pStyle w:val="Heading2"/>
        <w:spacing w:after="160" w:before="280"/>
      </w:pPr>
      <w:r>
        <w:rPr>
          <w:rFonts w:ascii="Arial" w:cs="Arial" w:eastAsia="Arial" w:hAnsi="Arial"/>
        </w:rPr>
        <w:t xml:space="preserve">What Feels Too Simplistic</w:t>
      </w:r>
    </w:p>
    <w:p>
      <w:pPr>
        <w:spacing w:after="160"/>
      </w:pPr>
      <w:r>
        <w:rPr>
          <w:rFonts w:ascii="Arial" w:cs="Arial" w:eastAsia="Arial" w:hAnsi="Arial"/>
          <w:sz w:val="21"/>
          <w:szCs w:val="21"/>
        </w:rPr>
        <w:t xml:space="preserve">D&amp;A is modelled as a flat 3.2% of revenue rather than linked to a capex/asset base accumulation schedule. Capex itself is flat at 2.5% of revenue with no distinction between maintenance and growth capex — in grocery, this distinction matters because maintenance capex is “non-discretionary” and growth capex drives the revenue expansion you’re assuming. The tax calculation applies a flat 25% to EBIT without considering interest tax shields, which understate the actual tax benefit of leverage. In a real PE model, tax would be calculated on EBT (EBIT − interest), not EBIT, and the resulting tax shield would be a genuine IRR driver.</w:t>
      </w:r>
    </w:p>
    <w:p>
      <w:pPr>
        <w:pStyle w:val="Heading2"/>
        <w:spacing w:after="160" w:before="280"/>
      </w:pPr>
      <w:r>
        <w:rPr>
          <w:rFonts w:ascii="Arial" w:cs="Arial" w:eastAsia="Arial" w:hAnsi="Arial"/>
        </w:rPr>
        <w:t xml:space="preserve">What Would Need to Change for PE Production Standard</w:t>
      </w:r>
    </w:p>
    <w:p>
      <w:pPr>
        <w:spacing w:after="160"/>
      </w:pPr>
      <w:r>
        <w:rPr>
          <w:rFonts w:ascii="Arial" w:cs="Arial" w:eastAsia="Arial" w:hAnsi="Arial"/>
          <w:sz w:val="21"/>
          <w:szCs w:val="21"/>
        </w:rPr>
        <w:t xml:space="preserve">A production model would include: (1) a proper balance sheet to verify the debt schedule balances; (2) interest tax shields on EBT rather than EBIT; (3) an IRR function on actual cash flows, not a MoM approximation; (4) a management equity/option pool dilution schedule; (5) a property scenario where S&amp;L proceeds are used to pay down debt; and (6) a proper returns attribution waterfall that reconciles to exit equity.</w:t>
      </w:r>
    </w:p>
    <w:p>
      <w:r>
        <w:br w:type="page"/>
      </w:r>
    </w:p>
    <w:p>
      <w:pPr>
        <w:pStyle w:val="Heading1"/>
        <w:spacing w:after="200" w:before="360"/>
      </w:pPr>
      <w:r>
        <w:rPr>
          <w:rFonts w:ascii="Arial" w:cs="Arial" w:eastAsia="Arial" w:hAnsi="Arial"/>
        </w:rPr>
        <w:t xml:space="preserve">E. Auditability Review</w:t>
      </w:r>
    </w:p>
    <w:p>
      <w:pPr>
        <w:spacing w:after="160"/>
      </w:pPr>
      <w:r>
        <w:rPr>
          <w:rFonts w:ascii="Arial" w:cs="Arial" w:eastAsia="Arial" w:hAnsi="Arial"/>
          <w:b/>
          <w:bCs/>
          <w:sz w:val="21"/>
          <w:szCs w:val="21"/>
        </w:rPr>
        <w:t xml:space="preserve">Overall: Good structure, one significant auditability failure.</w:t>
      </w:r>
    </w:p>
    <w:p>
      <w:pPr>
        <w:spacing w:after="160"/>
      </w:pPr>
      <w:r>
        <w:rPr>
          <w:rFonts w:ascii="Arial" w:cs="Arial" w:eastAsia="Arial" w:hAnsi="Arial"/>
          <w:color w:val="008000"/>
          <w:sz w:val="21"/>
          <w:szCs w:val="21"/>
        </w:rPr>
        <w:t xml:space="preserve">Strengths: </w:t>
      </w:r>
      <w:r>
        <w:rPr>
          <w:rFonts w:ascii="Arial" w:cs="Arial" w:eastAsia="Arial" w:hAnsi="Arial"/>
          <w:sz w:val="21"/>
          <w:szCs w:val="21"/>
        </w:rPr>
        <w:t xml:space="preserve">All inputs are clearly separated on the Assumptions tab with blue font on yellow fill. All formulas are in black. Cross-sheet references use green font. There are no hidden hardcodes in the Operating Model or Debt Schedule — every assumption traces back to a named cell. The Sources &amp; Uses tab correctly uses a plug for sponsor equity. Formulas are consistent across projection periods (same pattern from Year 1 to Year 5).</w:t>
      </w:r>
    </w:p>
    <w:p>
      <w:pPr>
        <w:spacing w:after="160"/>
      </w:pPr>
      <w:r>
        <w:rPr>
          <w:rFonts w:ascii="Arial" w:cs="Arial" w:eastAsia="Arial" w:hAnsi="Arial"/>
          <w:b/>
          <w:bCs/>
          <w:color w:val="CC0000"/>
          <w:sz w:val="21"/>
          <w:szCs w:val="21"/>
        </w:rPr>
        <w:t xml:space="preserve">Failures: </w:t>
      </w:r>
      <w:r>
        <w:rPr>
          <w:rFonts w:ascii="Arial" w:cs="Arial" w:eastAsia="Arial" w:hAnsi="Arial"/>
          <w:sz w:val="21"/>
          <w:szCs w:val="21"/>
        </w:rPr>
        <w:t xml:space="preserve">(1) The Assumptions tab EBIT of £17,000m is an immediate red flag that would cause an auditor to question the entire model. (2) The MoM sensitivity table producing negative multiples would fail any model review. (3) The Summary tab Debt/EBITDA row showing 6.2% for Year 1 (actually EBITDA margin) would confuse anyone reading the summary. (4) The value bridge £450m discrepancy has no explanatory note or reconciliation line. These are not structural problems — they’re fixable errors — but they would prevent the model from passing a “cold handoff” test where another analyst picks it up without your guidance.</w:t>
      </w:r>
    </w:p>
    <w:p>
      <w:pPr>
        <w:spacing w:after="160"/>
      </w:pPr>
      <w:r>
        <w:rPr>
          <w:rFonts w:ascii="Arial" w:cs="Arial" w:eastAsia="Arial" w:hAnsi="Arial"/>
          <w:b/>
          <w:bCs/>
          <w:sz w:val="21"/>
          <w:szCs w:val="21"/>
        </w:rPr>
        <w:t xml:space="preserve">Could another analyst pick this up?</w:t>
      </w:r>
      <w:r>
        <w:rPr>
          <w:rFonts w:ascii="Arial" w:cs="Arial" w:eastAsia="Arial" w:hAnsi="Arial"/>
          <w:sz w:val="21"/>
          <w:szCs w:val="21"/>
        </w:rPr>
        <w:t xml:space="preserve"> With the four errors fixed: yes. The tab structure is logical (Assumptions → S&amp;U → OpModel → Debt → Returns → Sensitivity → Summary), the color coding is industry-standard, and the formula chains are traceable. Without fixes: they’d spend their first hour flagging the same issues identified here.</w:t>
      </w:r>
    </w:p>
    <w:p>
      <w:r>
        <w:br w:type="page"/>
      </w:r>
    </w:p>
    <w:p>
      <w:pPr>
        <w:pStyle w:val="Heading1"/>
        <w:spacing w:after="200" w:before="360"/>
      </w:pPr>
      <w:r>
        <w:rPr>
          <w:rFonts w:ascii="Arial" w:cs="Arial" w:eastAsia="Arial" w:hAnsi="Arial"/>
        </w:rPr>
        <w:t xml:space="preserve">F. Write-Up Quality Review</w:t>
      </w:r>
    </w:p>
    <w:p>
      <w:pPr>
        <w:pStyle w:val="Heading2"/>
        <w:spacing w:after="160" w:before="280"/>
      </w:pPr>
      <w:r>
        <w:rPr>
          <w:rFonts w:ascii="Arial" w:cs="Arial" w:eastAsia="Arial" w:hAnsi="Arial"/>
        </w:rPr>
        <w:t xml:space="preserve">What Is Strong</w:t>
      </w:r>
    </w:p>
    <w:p>
      <w:pPr>
        <w:spacing w:after="160"/>
      </w:pPr>
      <w:r>
        <w:rPr>
          <w:rFonts w:ascii="Arial" w:cs="Arial" w:eastAsia="Arial" w:hAnsi="Arial"/>
          <w:sz w:val="21"/>
          <w:szCs w:val="21"/>
        </w:rPr>
        <w:t xml:space="preserve">The write-up reads like an analyst note, not a student essay. The conclusion section is the standout: “defensible but not compelling” with a clear explanation of why shows genuine commercial judgement. The risk section cites specific, deal-relevant risks (McColl’s administration, Goldman’s syndication losses) rather than generic “macro risk” filler. The deleveraging analysis (“growing into the debt, not paying it down”) is insightful and backed by the model. The observation that PIK prefs growing from £1.3bn to £2.1bn effectively offset TLB paydown is exactly the kind of non-obvious insight that demonstrates you actually built the model and thought about what the numbers mean.</w:t>
      </w:r>
    </w:p>
    <w:p>
      <w:pPr>
        <w:pStyle w:val="Heading2"/>
        <w:spacing w:after="160" w:before="280"/>
      </w:pPr>
      <w:r>
        <w:rPr>
          <w:rFonts w:ascii="Arial" w:cs="Arial" w:eastAsia="Arial" w:hAnsi="Arial"/>
        </w:rPr>
        <w:t xml:space="preserve">What Sounds Weak or Generic</w:t>
      </w:r>
    </w:p>
    <w:p>
      <w:pPr>
        <w:spacing w:after="160"/>
      </w:pPr>
      <w:r>
        <w:rPr>
          <w:rFonts w:ascii="Arial" w:cs="Arial" w:eastAsia="Arial" w:hAnsi="Arial"/>
          <w:sz w:val="21"/>
          <w:szCs w:val="21"/>
        </w:rPr>
        <w:t xml:space="preserve">Section 2.3 claims margins sat “below the levels achieved by better-performing peers” but never names those peers or gives their margins. A PE analyst would write: “Tesco achieved 6.8% EBITDA margin in the same period; Morrisons’ 6.1% suggests 70–80bps of catchable margin gap.” Section 3.1 cites “65% combined Big Four share” and “15% discounter share” without sourcing — these should reference Kantar/Nielsen data. The industry context section is competent but reads like background research rather than analytical framing; it should more directly answer “why does industry context support or undermine the thesis?” The property discussion (2.2) mentions £3.2bn raised post-acquisition, which is information that wouldn’t have been available at deal time — this should be flagged as ex-post context, not presented as part of the investment thesis.</w:t>
      </w:r>
    </w:p>
    <w:p>
      <w:pPr>
        <w:pStyle w:val="Heading2"/>
        <w:spacing w:after="160" w:before="280"/>
      </w:pPr>
      <w:r>
        <w:rPr>
          <w:rFonts w:ascii="Arial" w:cs="Arial" w:eastAsia="Arial" w:hAnsi="Arial"/>
        </w:rPr>
        <w:t xml:space="preserve">What Needs Rewriting</w:t>
      </w:r>
    </w:p>
    <w:p>
      <w:pPr>
        <w:spacing w:after="160"/>
      </w:pPr>
      <w:r>
        <w:rPr>
          <w:rFonts w:ascii="Arial" w:cs="Arial" w:eastAsia="Arial" w:hAnsi="Arial"/>
          <w:sz w:val="21"/>
          <w:szCs w:val="21"/>
        </w:rPr>
        <w:t xml:space="preserve">The executive summary states IRR of 8.1% and “1.5x MoM” but the model calculates 1.48x. This should be “~1.5x” or “1.5x.” More importantly, there is no comparable transaction analysis anywhere — what did the EG Group / Asda deal trade at? What about European grocery PE precedents (Booker, Iceland, Co-op)? A single page showing 3–5 comparable transactions with EV/EBITDA multiples would massively strengthen the entry multiple justification. The write-up also lacks any discussion of the management team; David Potts had been CEO since 2015 and was central to CD&amp;R’s operational thesis. In PE, you back jockeys as much as horses.</w:t>
      </w:r>
    </w:p>
    <w:p>
      <w:r>
        <w:br w:type="page"/>
      </w:r>
    </w:p>
    <w:p>
      <w:pPr>
        <w:pStyle w:val="Heading1"/>
        <w:spacing w:after="200" w:before="360"/>
      </w:pPr>
      <w:r>
        <w:rPr>
          <w:rFonts w:ascii="Arial" w:cs="Arial" w:eastAsia="Arial" w:hAnsi="Arial"/>
        </w:rPr>
        <w:t xml:space="preserve">G. Model ↔ Narrative Consistency</w:t>
      </w:r>
    </w:p>
    <w:p>
      <w:pPr>
        <w:spacing w:after="160"/>
      </w:pPr>
      <w:r>
        <w:rPr>
          <w:rFonts w:ascii="Arial" w:cs="Arial" w:eastAsia="Arial" w:hAnsi="Arial"/>
          <w:color w:val="008000"/>
          <w:sz w:val="21"/>
          <w:szCs w:val="21"/>
        </w:rPr>
        <w:t xml:space="preserve">Largely consistent.</w:t>
      </w:r>
      <w:r>
        <w:rPr>
          <w:rFonts w:ascii="Arial" w:cs="Arial" w:eastAsia="Arial" w:hAnsi="Arial"/>
          <w:sz w:val="21"/>
          <w:szCs w:val="21"/>
        </w:rPr>
        <w:t xml:space="preserve"> The write-up claims margin expansion from 6.1% to 7.2%; the model shows exactly this (C9=6.1%, H9=7.2%). Revenue growth of 2–3% matches the model (2.5%/3.0%/3.0%/2.5%/2.0%). The “£37m net debt paydown” claim in the write-up matches the model (entry debt £6,300m vs exit £6,263m = £37m reduction). The claim that “each 50bps of margin generates ~£100m of EBITDA” is verifiable: Year 5 revenue of £19,970m × 0.5% = £100m. Correct.</w:t>
      </w:r>
    </w:p>
    <w:p>
      <w:pPr>
        <w:spacing w:after="160"/>
      </w:pPr>
      <w:r>
        <w:rPr>
          <w:rFonts w:ascii="Arial" w:cs="Arial" w:eastAsia="Arial" w:hAnsi="Arial"/>
          <w:b/>
          <w:bCs/>
          <w:sz w:val="21"/>
          <w:szCs w:val="21"/>
        </w:rPr>
        <w:t xml:space="preserve">Flagged mismatches:</w:t>
      </w:r>
    </w:p>
    <w:p>
      <w:pPr>
        <w:pStyle w:val="ListParagraph"/>
        <w:numPr>
          <w:ilvl w:val="0"/>
          <w:numId w:val="2"/>
        </w:numPr>
        <w:spacing w:after="100"/>
      </w:pPr>
      <w:r>
        <w:rPr>
          <w:rFonts w:ascii="Arial" w:cs="Arial" w:eastAsia="Arial" w:hAnsi="Arial"/>
          <w:sz w:val="21"/>
          <w:szCs w:val="21"/>
        </w:rPr>
        <w:t xml:space="preserve">Write-up says “£831m of TLB repayment” but the model shows TLB declining from £2,000m to £1,169m = £831m. This is correct.</w:t>
      </w:r>
    </w:p>
    <w:p>
      <w:pPr>
        <w:pStyle w:val="ListParagraph"/>
        <w:numPr>
          <w:ilvl w:val="0"/>
          <w:numId w:val="2"/>
        </w:numPr>
        <w:spacing w:after="100"/>
      </w:pPr>
      <w:r>
        <w:rPr>
          <w:rFonts w:ascii="Arial" w:cs="Arial" w:eastAsia="Arial" w:hAnsi="Arial"/>
          <w:sz w:val="21"/>
          <w:szCs w:val="21"/>
        </w:rPr>
        <w:t xml:space="preserve">Write-up says “total debt only decreases from £6.3bn to £6.3bn.” Model shows £6,300m to £6,263m. Close enough, but stating “£6.3bn to £6.3bn” implies zero change when there’s actually a £37m decrease.</w:t>
      </w:r>
    </w:p>
    <w:p>
      <w:pPr>
        <w:pStyle w:val="ListParagraph"/>
        <w:numPr>
          <w:ilvl w:val="0"/>
          <w:numId w:val="2"/>
        </w:numPr>
        <w:spacing w:after="100"/>
      </w:pPr>
      <w:r>
        <w:rPr>
          <w:rFonts w:ascii="Arial" w:cs="Arial" w:eastAsia="Arial" w:hAnsi="Arial"/>
          <w:sz w:val="21"/>
          <w:szCs w:val="21"/>
        </w:rPr>
        <w:t xml:space="preserve">Write-up says entry leverage of 5.8x; model confirms 5.84x. Fine.</w:t>
      </w:r>
    </w:p>
    <w:p>
      <w:pPr>
        <w:pStyle w:val="ListParagraph"/>
        <w:numPr>
          <w:ilvl w:val="0"/>
          <w:numId w:val="2"/>
        </w:numPr>
        <w:spacing w:after="100"/>
      </w:pPr>
      <w:r>
        <w:rPr>
          <w:rFonts w:ascii="Arial" w:cs="Arial" w:eastAsia="Arial" w:hAnsi="Arial"/>
          <w:sz w:val="21"/>
          <w:szCs w:val="21"/>
        </w:rPr>
        <w:t xml:space="preserve">Write-up says “annual cash interest exceeds £400m.” Model shows Year 1 cash interest of £331m, rising to ~£351m by Year 5. The £400m claim is overstated. This should be corrected to “exceeds £300m” or give the actual figure.</w:t>
      </w:r>
    </w:p>
    <w:p>
      <w:pPr>
        <w:pStyle w:val="ListParagraph"/>
        <w:numPr>
          <w:ilvl w:val="0"/>
          <w:numId w:val="2"/>
        </w:numPr>
        <w:spacing w:after="200"/>
      </w:pPr>
      <w:r>
        <w:rPr>
          <w:rFonts w:ascii="Arial" w:cs="Arial" w:eastAsia="Arial" w:hAnsi="Arial"/>
          <w:sz w:val="21"/>
          <w:szCs w:val="21"/>
        </w:rPr>
        <w:t xml:space="preserve">Write-up says EBITDA growth contributes “£3.1bn” but the value bridge shows £3,058m. Should be “£3.1bn” or “approximately £3.1bn.” Fine as stated.</w:t>
      </w:r>
    </w:p>
    <w:p>
      <w:r>
        <w:br w:type="page"/>
      </w:r>
    </w:p>
    <w:p>
      <w:pPr>
        <w:pStyle w:val="Heading1"/>
        <w:spacing w:after="200" w:before="360"/>
      </w:pPr>
      <w:r>
        <w:rPr>
          <w:rFonts w:ascii="Arial" w:cs="Arial" w:eastAsia="Arial" w:hAnsi="Arial"/>
        </w:rPr>
        <w:t xml:space="preserve">H. Priority Improvements (Ranked)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40"/>
        <w:gridCol w:w="5400"/>
        <w:gridCol w:w="1800"/>
        <w:gridCol w:w="1980"/>
      </w:tblGrid>
      <w:tr>
        <w:tc>
          <w:tcPr>
            <w:tcW w:type="dxa" w:w="54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t>
            </w:r>
          </w:p>
        </w:tc>
        <w:tc>
          <w:tcPr>
            <w:tcW w:type="dxa" w:w="5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Improvement</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Impact</w:t>
            </w:r>
          </w:p>
        </w:tc>
        <w:tc>
          <w:tcPr>
            <w:tcW w:type="dxa" w:w="19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Effort</w:t>
            </w:r>
          </w:p>
        </w:tc>
      </w:tr>
      <w:tr>
        <w:tc>
          <w:tcPr>
            <w:tcW w:type="dxa" w:w="540"/>
            <w:tcBorders>
              <w:top w:val="single" w:color="BFBFBF" w:sz="1"/>
              <w:left w:val="single" w:color="BFBFBF" w:sz="1"/>
              <w:bottom w:val="single" w:color="BFBFBF" w:sz="1"/>
              <w:right w:val="single" w:color="BFBFBF" w:sz="1"/>
            </w:tcBorders>
            <w:shd w:fill="FFC7CE" w:val="clear"/>
            <w:tcMar>
              <w:top w:type="dxa" w:w="60"/>
              <w:left w:type="dxa" w:w="100"/>
              <w:bottom w:type="dxa" w:w="60"/>
              <w:right w:type="dxa" w:w="100"/>
            </w:tcMar>
          </w:tcPr>
          <w:p>
            <w:r>
              <w:rPr>
                <w:rFonts w:ascii="Arial" w:cs="Arial" w:eastAsia="Arial" w:hAnsi="Arial"/>
                <w:sz w:val="20"/>
                <w:szCs w:val="20"/>
              </w:rPr>
              <w:t xml:space="preserve">1</w:t>
            </w:r>
          </w:p>
        </w:tc>
        <w:tc>
          <w:tcPr>
            <w:tcW w:type="dxa" w:w="5400"/>
            <w:tcBorders>
              <w:top w:val="single" w:color="BFBFBF" w:sz="1"/>
              <w:left w:val="single" w:color="BFBFBF" w:sz="1"/>
              <w:bottom w:val="single" w:color="BFBFBF" w:sz="1"/>
              <w:right w:val="single" w:color="BFBFBF" w:sz="1"/>
            </w:tcBorders>
            <w:shd w:fill="FFC7CE" w:val="clear"/>
            <w:tcMar>
              <w:top w:type="dxa" w:w="60"/>
              <w:left w:type="dxa" w:w="100"/>
              <w:bottom w:type="dxa" w:w="60"/>
              <w:right w:type="dxa" w:w="100"/>
            </w:tcMar>
          </w:tcPr>
          <w:p>
            <w:r>
              <w:rPr>
                <w:rFonts w:ascii="Arial" w:cs="Arial" w:eastAsia="Arial" w:hAnsi="Arial"/>
                <w:sz w:val="20"/>
                <w:szCs w:val="20"/>
              </w:rPr>
              <w:t xml:space="preserve">Fix EBIT formula on Assumptions tab (=C22−C24)</w:t>
            </w:r>
          </w:p>
        </w:tc>
        <w:tc>
          <w:tcPr>
            <w:tcW w:type="dxa" w:w="1800"/>
            <w:tcBorders>
              <w:top w:val="single" w:color="BFBFBF" w:sz="1"/>
              <w:left w:val="single" w:color="BFBFBF" w:sz="1"/>
              <w:bottom w:val="single" w:color="BFBFBF" w:sz="1"/>
              <w:right w:val="single" w:color="BFBFBF" w:sz="1"/>
            </w:tcBorders>
            <w:shd w:fill="FFC7CE" w:val="clear"/>
            <w:tcMar>
              <w:top w:type="dxa" w:w="60"/>
              <w:left w:type="dxa" w:w="100"/>
              <w:bottom w:type="dxa" w:w="60"/>
              <w:right w:type="dxa" w:w="100"/>
            </w:tcMar>
          </w:tcPr>
          <w:p>
            <w:r>
              <w:rPr>
                <w:rFonts w:ascii="Arial" w:cs="Arial" w:eastAsia="Arial" w:hAnsi="Arial"/>
                <w:sz w:val="20"/>
                <w:szCs w:val="20"/>
              </w:rPr>
              <w:t xml:space="preserve">Critical</w:t>
            </w:r>
          </w:p>
        </w:tc>
        <w:tc>
          <w:tcPr>
            <w:tcW w:type="dxa" w:w="1980"/>
            <w:tcBorders>
              <w:top w:val="single" w:color="BFBFBF" w:sz="1"/>
              <w:left w:val="single" w:color="BFBFBF" w:sz="1"/>
              <w:bottom w:val="single" w:color="BFBFBF" w:sz="1"/>
              <w:right w:val="single" w:color="BFBFBF" w:sz="1"/>
            </w:tcBorders>
            <w:shd w:fill="FFC7CE" w:val="clear"/>
            <w:tcMar>
              <w:top w:type="dxa" w:w="60"/>
              <w:left w:type="dxa" w:w="100"/>
              <w:bottom w:type="dxa" w:w="60"/>
              <w:right w:type="dxa" w:w="100"/>
            </w:tcMar>
          </w:tcPr>
          <w:p>
            <w:r>
              <w:rPr>
                <w:rFonts w:ascii="Arial" w:cs="Arial" w:eastAsia="Arial" w:hAnsi="Arial"/>
                <w:sz w:val="20"/>
                <w:szCs w:val="20"/>
              </w:rPr>
              <w:t xml:space="preserve">30 seconds</w:t>
            </w:r>
          </w:p>
        </w:tc>
      </w:tr>
      <w:tr>
        <w:tc>
          <w:tcPr>
            <w:tcW w:type="dxa" w:w="540"/>
            <w:tcBorders>
              <w:top w:val="single" w:color="BFBFBF" w:sz="1"/>
              <w:left w:val="single" w:color="BFBFBF" w:sz="1"/>
              <w:bottom w:val="single" w:color="BFBFBF" w:sz="1"/>
              <w:right w:val="single" w:color="BFBFBF" w:sz="1"/>
            </w:tcBorders>
            <w:shd w:fill="FFC7CE" w:val="clear"/>
            <w:tcMar>
              <w:top w:type="dxa" w:w="60"/>
              <w:left w:type="dxa" w:w="100"/>
              <w:bottom w:type="dxa" w:w="60"/>
              <w:right w:type="dxa" w:w="100"/>
            </w:tcMar>
          </w:tcPr>
          <w:p>
            <w:r>
              <w:rPr>
                <w:rFonts w:ascii="Arial" w:cs="Arial" w:eastAsia="Arial" w:hAnsi="Arial"/>
                <w:sz w:val="20"/>
                <w:szCs w:val="20"/>
              </w:rPr>
              <w:t xml:space="preserve">2</w:t>
            </w:r>
          </w:p>
        </w:tc>
        <w:tc>
          <w:tcPr>
            <w:tcW w:type="dxa" w:w="5400"/>
            <w:tcBorders>
              <w:top w:val="single" w:color="BFBFBF" w:sz="1"/>
              <w:left w:val="single" w:color="BFBFBF" w:sz="1"/>
              <w:bottom w:val="single" w:color="BFBFBF" w:sz="1"/>
              <w:right w:val="single" w:color="BFBFBF" w:sz="1"/>
            </w:tcBorders>
            <w:shd w:fill="FFC7CE" w:val="clear"/>
            <w:tcMar>
              <w:top w:type="dxa" w:w="60"/>
              <w:left w:type="dxa" w:w="100"/>
              <w:bottom w:type="dxa" w:w="60"/>
              <w:right w:type="dxa" w:w="100"/>
            </w:tcMar>
          </w:tcPr>
          <w:p>
            <w:r>
              <w:rPr>
                <w:rFonts w:ascii="Arial" w:cs="Arial" w:eastAsia="Arial" w:hAnsi="Arial"/>
                <w:sz w:val="20"/>
                <w:szCs w:val="20"/>
              </w:rPr>
              <w:t xml:space="preserve">Fix MoM sensitivity table denominator (C17→C18)</w:t>
            </w:r>
          </w:p>
        </w:tc>
        <w:tc>
          <w:tcPr>
            <w:tcW w:type="dxa" w:w="1800"/>
            <w:tcBorders>
              <w:top w:val="single" w:color="BFBFBF" w:sz="1"/>
              <w:left w:val="single" w:color="BFBFBF" w:sz="1"/>
              <w:bottom w:val="single" w:color="BFBFBF" w:sz="1"/>
              <w:right w:val="single" w:color="BFBFBF" w:sz="1"/>
            </w:tcBorders>
            <w:shd w:fill="FFC7CE" w:val="clear"/>
            <w:tcMar>
              <w:top w:type="dxa" w:w="60"/>
              <w:left w:type="dxa" w:w="100"/>
              <w:bottom w:type="dxa" w:w="60"/>
              <w:right w:type="dxa" w:w="100"/>
            </w:tcMar>
          </w:tcPr>
          <w:p>
            <w:r>
              <w:rPr>
                <w:rFonts w:ascii="Arial" w:cs="Arial" w:eastAsia="Arial" w:hAnsi="Arial"/>
                <w:sz w:val="20"/>
                <w:szCs w:val="20"/>
              </w:rPr>
              <w:t xml:space="preserve">Critical</w:t>
            </w:r>
          </w:p>
        </w:tc>
        <w:tc>
          <w:tcPr>
            <w:tcW w:type="dxa" w:w="1980"/>
            <w:tcBorders>
              <w:top w:val="single" w:color="BFBFBF" w:sz="1"/>
              <w:left w:val="single" w:color="BFBFBF" w:sz="1"/>
              <w:bottom w:val="single" w:color="BFBFBF" w:sz="1"/>
              <w:right w:val="single" w:color="BFBFBF" w:sz="1"/>
            </w:tcBorders>
            <w:shd w:fill="FFC7CE" w:val="clear"/>
            <w:tcMar>
              <w:top w:type="dxa" w:w="60"/>
              <w:left w:type="dxa" w:w="100"/>
              <w:bottom w:type="dxa" w:w="60"/>
              <w:right w:type="dxa" w:w="100"/>
            </w:tcMar>
          </w:tcPr>
          <w:p>
            <w:r>
              <w:rPr>
                <w:rFonts w:ascii="Arial" w:cs="Arial" w:eastAsia="Arial" w:hAnsi="Arial"/>
                <w:sz w:val="20"/>
                <w:szCs w:val="20"/>
              </w:rPr>
              <w:t xml:space="preserve">5 minutes</w:t>
            </w:r>
          </w:p>
        </w:tc>
      </w:tr>
      <w:tr>
        <w:tc>
          <w:tcPr>
            <w:tcW w:type="dxa" w:w="540"/>
            <w:tcBorders>
              <w:top w:val="single" w:color="BFBFBF" w:sz="1"/>
              <w:left w:val="single" w:color="BFBFBF" w:sz="1"/>
              <w:bottom w:val="single" w:color="BFBFBF" w:sz="1"/>
              <w:right w:val="single" w:color="BFBFBF" w:sz="1"/>
            </w:tcBorders>
            <w:shd w:fill="FFEB9C" w:val="clear"/>
            <w:tcMar>
              <w:top w:type="dxa" w:w="60"/>
              <w:left w:type="dxa" w:w="100"/>
              <w:bottom w:type="dxa" w:w="60"/>
              <w:right w:type="dxa" w:w="100"/>
            </w:tcMar>
          </w:tcPr>
          <w:p>
            <w:r>
              <w:rPr>
                <w:rFonts w:ascii="Arial" w:cs="Arial" w:eastAsia="Arial" w:hAnsi="Arial"/>
                <w:sz w:val="20"/>
                <w:szCs w:val="20"/>
              </w:rPr>
              <w:t xml:space="preserve">3</w:t>
            </w:r>
          </w:p>
        </w:tc>
        <w:tc>
          <w:tcPr>
            <w:tcW w:type="dxa" w:w="5400"/>
            <w:tcBorders>
              <w:top w:val="single" w:color="BFBFBF" w:sz="1"/>
              <w:left w:val="single" w:color="BFBFBF" w:sz="1"/>
              <w:bottom w:val="single" w:color="BFBFBF" w:sz="1"/>
              <w:right w:val="single" w:color="BFBFBF" w:sz="1"/>
            </w:tcBorders>
            <w:shd w:fill="FFEB9C" w:val="clear"/>
            <w:tcMar>
              <w:top w:type="dxa" w:w="60"/>
              <w:left w:type="dxa" w:w="100"/>
              <w:bottom w:type="dxa" w:w="60"/>
              <w:right w:type="dxa" w:w="100"/>
            </w:tcMar>
          </w:tcPr>
          <w:p>
            <w:r>
              <w:rPr>
                <w:rFonts w:ascii="Arial" w:cs="Arial" w:eastAsia="Arial" w:hAnsi="Arial"/>
                <w:sz w:val="20"/>
                <w:szCs w:val="20"/>
              </w:rPr>
              <w:t xml:space="preserve">Fix Summary D9 formula (should be Debt/EBITDA)</w:t>
            </w:r>
          </w:p>
        </w:tc>
        <w:tc>
          <w:tcPr>
            <w:tcW w:type="dxa" w:w="1800"/>
            <w:tcBorders>
              <w:top w:val="single" w:color="BFBFBF" w:sz="1"/>
              <w:left w:val="single" w:color="BFBFBF" w:sz="1"/>
              <w:bottom w:val="single" w:color="BFBFBF" w:sz="1"/>
              <w:right w:val="single" w:color="BFBFBF" w:sz="1"/>
            </w:tcBorders>
            <w:shd w:fill="FFEB9C" w:val="clear"/>
            <w:tcMar>
              <w:top w:type="dxa" w:w="60"/>
              <w:left w:type="dxa" w:w="100"/>
              <w:bottom w:type="dxa" w:w="60"/>
              <w:right w:type="dxa" w:w="100"/>
            </w:tcMar>
          </w:tcPr>
          <w:p>
            <w:r>
              <w:rPr>
                <w:rFonts w:ascii="Arial" w:cs="Arial" w:eastAsia="Arial" w:hAnsi="Arial"/>
                <w:sz w:val="20"/>
                <w:szCs w:val="20"/>
              </w:rPr>
              <w:t xml:space="preserve">Moderate</w:t>
            </w:r>
          </w:p>
        </w:tc>
        <w:tc>
          <w:tcPr>
            <w:tcW w:type="dxa" w:w="1980"/>
            <w:tcBorders>
              <w:top w:val="single" w:color="BFBFBF" w:sz="1"/>
              <w:left w:val="single" w:color="BFBFBF" w:sz="1"/>
              <w:bottom w:val="single" w:color="BFBFBF" w:sz="1"/>
              <w:right w:val="single" w:color="BFBFBF" w:sz="1"/>
            </w:tcBorders>
            <w:shd w:fill="FFEB9C" w:val="clear"/>
            <w:tcMar>
              <w:top w:type="dxa" w:w="60"/>
              <w:left w:type="dxa" w:w="100"/>
              <w:bottom w:type="dxa" w:w="60"/>
              <w:right w:type="dxa" w:w="100"/>
            </w:tcMar>
          </w:tcPr>
          <w:p>
            <w:r>
              <w:rPr>
                <w:rFonts w:ascii="Arial" w:cs="Arial" w:eastAsia="Arial" w:hAnsi="Arial"/>
                <w:sz w:val="20"/>
                <w:szCs w:val="20"/>
              </w:rPr>
              <w:t xml:space="preserve">1 minute</w:t>
            </w:r>
          </w:p>
        </w:tc>
      </w:tr>
      <w:tr>
        <w:tc>
          <w:tcPr>
            <w:tcW w:type="dxa" w:w="540"/>
            <w:tcBorders>
              <w:top w:val="single" w:color="BFBFBF" w:sz="1"/>
              <w:left w:val="single" w:color="BFBFBF" w:sz="1"/>
              <w:bottom w:val="single" w:color="BFBFBF" w:sz="1"/>
              <w:right w:val="single" w:color="BFBFBF" w:sz="1"/>
            </w:tcBorders>
            <w:shd w:fill="FFEB9C" w:val="clear"/>
            <w:tcMar>
              <w:top w:type="dxa" w:w="60"/>
              <w:left w:type="dxa" w:w="100"/>
              <w:bottom w:type="dxa" w:w="60"/>
              <w:right w:type="dxa" w:w="100"/>
            </w:tcMar>
          </w:tcPr>
          <w:p>
            <w:r>
              <w:rPr>
                <w:rFonts w:ascii="Arial" w:cs="Arial" w:eastAsia="Arial" w:hAnsi="Arial"/>
                <w:sz w:val="20"/>
                <w:szCs w:val="20"/>
              </w:rPr>
              <w:t xml:space="preserve">4</w:t>
            </w:r>
          </w:p>
        </w:tc>
        <w:tc>
          <w:tcPr>
            <w:tcW w:type="dxa" w:w="5400"/>
            <w:tcBorders>
              <w:top w:val="single" w:color="BFBFBF" w:sz="1"/>
              <w:left w:val="single" w:color="BFBFBF" w:sz="1"/>
              <w:bottom w:val="single" w:color="BFBFBF" w:sz="1"/>
              <w:right w:val="single" w:color="BFBFBF" w:sz="1"/>
            </w:tcBorders>
            <w:shd w:fill="FFEB9C" w:val="clear"/>
            <w:tcMar>
              <w:top w:type="dxa" w:w="60"/>
              <w:left w:type="dxa" w:w="100"/>
              <w:bottom w:type="dxa" w:w="60"/>
              <w:right w:type="dxa" w:w="100"/>
            </w:tcMar>
          </w:tcPr>
          <w:p>
            <w:r>
              <w:rPr>
                <w:rFonts w:ascii="Arial" w:cs="Arial" w:eastAsia="Arial" w:hAnsi="Arial"/>
                <w:sz w:val="20"/>
                <w:szCs w:val="20"/>
              </w:rPr>
              <w:t xml:space="preserve">Replace IRR approx with =IRR() on actual cash flow row</w:t>
            </w:r>
          </w:p>
        </w:tc>
        <w:tc>
          <w:tcPr>
            <w:tcW w:type="dxa" w:w="1800"/>
            <w:tcBorders>
              <w:top w:val="single" w:color="BFBFBF" w:sz="1"/>
              <w:left w:val="single" w:color="BFBFBF" w:sz="1"/>
              <w:bottom w:val="single" w:color="BFBFBF" w:sz="1"/>
              <w:right w:val="single" w:color="BFBFBF" w:sz="1"/>
            </w:tcBorders>
            <w:shd w:fill="FFEB9C" w:val="clear"/>
            <w:tcMar>
              <w:top w:type="dxa" w:w="60"/>
              <w:left w:type="dxa" w:w="100"/>
              <w:bottom w:type="dxa" w:w="60"/>
              <w:right w:type="dxa" w:w="100"/>
            </w:tcMar>
          </w:tcPr>
          <w:p>
            <w:r>
              <w:rPr>
                <w:rFonts w:ascii="Arial" w:cs="Arial" w:eastAsia="Arial" w:hAnsi="Arial"/>
                <w:sz w:val="20"/>
                <w:szCs w:val="20"/>
              </w:rPr>
              <w:t xml:space="preserve">Moderate</w:t>
            </w:r>
          </w:p>
        </w:tc>
        <w:tc>
          <w:tcPr>
            <w:tcW w:type="dxa" w:w="1980"/>
            <w:tcBorders>
              <w:top w:val="single" w:color="BFBFBF" w:sz="1"/>
              <w:left w:val="single" w:color="BFBFBF" w:sz="1"/>
              <w:bottom w:val="single" w:color="BFBFBF" w:sz="1"/>
              <w:right w:val="single" w:color="BFBFBF" w:sz="1"/>
            </w:tcBorders>
            <w:shd w:fill="FFEB9C" w:val="clear"/>
            <w:tcMar>
              <w:top w:type="dxa" w:w="60"/>
              <w:left w:type="dxa" w:w="100"/>
              <w:bottom w:type="dxa" w:w="60"/>
              <w:right w:type="dxa" w:w="100"/>
            </w:tcMar>
          </w:tcPr>
          <w:p>
            <w:r>
              <w:rPr>
                <w:rFonts w:ascii="Arial" w:cs="Arial" w:eastAsia="Arial" w:hAnsi="Arial"/>
                <w:sz w:val="20"/>
                <w:szCs w:val="20"/>
              </w:rPr>
              <w:t xml:space="preserve">15 minutes</w:t>
            </w:r>
          </w:p>
        </w:tc>
      </w:tr>
      <w:tr>
        <w:tc>
          <w:tcPr>
            <w:tcW w:type="dxa" w:w="540"/>
            <w:tcBorders>
              <w:top w:val="single" w:color="BFBFBF" w:sz="1"/>
              <w:left w:val="single" w:color="BFBFBF" w:sz="1"/>
              <w:bottom w:val="single" w:color="BFBFBF" w:sz="1"/>
              <w:right w:val="single" w:color="BFBFBF" w:sz="1"/>
            </w:tcBorders>
            <w:shd w:fill="FFEB9C" w:val="clear"/>
            <w:tcMar>
              <w:top w:type="dxa" w:w="60"/>
              <w:left w:type="dxa" w:w="100"/>
              <w:bottom w:type="dxa" w:w="60"/>
              <w:right w:type="dxa" w:w="100"/>
            </w:tcMar>
          </w:tcPr>
          <w:p>
            <w:r>
              <w:rPr>
                <w:rFonts w:ascii="Arial" w:cs="Arial" w:eastAsia="Arial" w:hAnsi="Arial"/>
                <w:sz w:val="20"/>
                <w:szCs w:val="20"/>
              </w:rPr>
              <w:t xml:space="preserve">5</w:t>
            </w:r>
          </w:p>
        </w:tc>
        <w:tc>
          <w:tcPr>
            <w:tcW w:type="dxa" w:w="5400"/>
            <w:tcBorders>
              <w:top w:val="single" w:color="BFBFBF" w:sz="1"/>
              <w:left w:val="single" w:color="BFBFBF" w:sz="1"/>
              <w:bottom w:val="single" w:color="BFBFBF" w:sz="1"/>
              <w:right w:val="single" w:color="BFBFBF" w:sz="1"/>
            </w:tcBorders>
            <w:shd w:fill="FFEB9C" w:val="clear"/>
            <w:tcMar>
              <w:top w:type="dxa" w:w="60"/>
              <w:left w:type="dxa" w:w="100"/>
              <w:bottom w:type="dxa" w:w="60"/>
              <w:right w:type="dxa" w:w="100"/>
            </w:tcMar>
          </w:tcPr>
          <w:p>
            <w:r>
              <w:rPr>
                <w:rFonts w:ascii="Arial" w:cs="Arial" w:eastAsia="Arial" w:hAnsi="Arial"/>
                <w:sz w:val="20"/>
                <w:szCs w:val="20"/>
              </w:rPr>
              <w:t xml:space="preserve">Add reconciliation line to value bridge</w:t>
            </w:r>
          </w:p>
        </w:tc>
        <w:tc>
          <w:tcPr>
            <w:tcW w:type="dxa" w:w="1800"/>
            <w:tcBorders>
              <w:top w:val="single" w:color="BFBFBF" w:sz="1"/>
              <w:left w:val="single" w:color="BFBFBF" w:sz="1"/>
              <w:bottom w:val="single" w:color="BFBFBF" w:sz="1"/>
              <w:right w:val="single" w:color="BFBFBF" w:sz="1"/>
            </w:tcBorders>
            <w:shd w:fill="FFEB9C" w:val="clear"/>
            <w:tcMar>
              <w:top w:type="dxa" w:w="60"/>
              <w:left w:type="dxa" w:w="100"/>
              <w:bottom w:type="dxa" w:w="60"/>
              <w:right w:type="dxa" w:w="100"/>
            </w:tcMar>
          </w:tcPr>
          <w:p>
            <w:r>
              <w:rPr>
                <w:rFonts w:ascii="Arial" w:cs="Arial" w:eastAsia="Arial" w:hAnsi="Arial"/>
                <w:sz w:val="20"/>
                <w:szCs w:val="20"/>
              </w:rPr>
              <w:t xml:space="preserve">Moderate</w:t>
            </w:r>
          </w:p>
        </w:tc>
        <w:tc>
          <w:tcPr>
            <w:tcW w:type="dxa" w:w="1980"/>
            <w:tcBorders>
              <w:top w:val="single" w:color="BFBFBF" w:sz="1"/>
              <w:left w:val="single" w:color="BFBFBF" w:sz="1"/>
              <w:bottom w:val="single" w:color="BFBFBF" w:sz="1"/>
              <w:right w:val="single" w:color="BFBFBF" w:sz="1"/>
            </w:tcBorders>
            <w:shd w:fill="FFEB9C" w:val="clear"/>
            <w:tcMar>
              <w:top w:type="dxa" w:w="60"/>
              <w:left w:type="dxa" w:w="100"/>
              <w:bottom w:type="dxa" w:w="60"/>
              <w:right w:type="dxa" w:w="100"/>
            </w:tcMar>
          </w:tcPr>
          <w:p>
            <w:r>
              <w:rPr>
                <w:rFonts w:ascii="Arial" w:cs="Arial" w:eastAsia="Arial" w:hAnsi="Arial"/>
                <w:sz w:val="20"/>
                <w:szCs w:val="20"/>
              </w:rPr>
              <w:t xml:space="preserve">10 minutes</w:t>
            </w:r>
          </w:p>
        </w:tc>
      </w:tr>
      <w:tr>
        <w:tc>
          <w:tcPr>
            <w:tcW w:type="dxa" w:w="54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5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Add comparable transactions section to write-up</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9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30 minutes</w:t>
            </w:r>
          </w:p>
        </w:tc>
      </w:tr>
      <w:tr>
        <w:tc>
          <w:tcPr>
            <w:tcW w:type="dxa" w:w="54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5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Calculate tax on EBT (EBIT−Interest) not EBIT</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9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20 minutes</w:t>
            </w:r>
          </w:p>
        </w:tc>
      </w:tr>
      <w:tr>
        <w:tc>
          <w:tcPr>
            <w:tcW w:type="dxa" w:w="54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5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Add credit metrics (interest coverage, DSCR)</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9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15 minutes</w:t>
            </w:r>
          </w:p>
        </w:tc>
      </w:tr>
      <w:tr>
        <w:tc>
          <w:tcPr>
            <w:tcW w:type="dxa" w:w="54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9</w:t>
            </w:r>
          </w:p>
        </w:tc>
        <w:tc>
          <w:tcPr>
            <w:tcW w:type="dxa" w:w="5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Add Excel charts to Summary tab</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9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20 minutes</w:t>
            </w:r>
          </w:p>
        </w:tc>
      </w:tr>
      <w:tr>
        <w:tc>
          <w:tcPr>
            <w:tcW w:type="dxa" w:w="54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5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Correct “exceeds £400m interest” claim in write-up</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Low</w:t>
            </w:r>
          </w:p>
        </w:tc>
        <w:tc>
          <w:tcPr>
            <w:tcW w:type="dxa" w:w="19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1 minute</w:t>
            </w:r>
          </w:p>
        </w:tc>
      </w:tr>
    </w:tbl>
    <w:p>
      <w:r>
        <w:br w:type="page"/>
      </w:r>
    </w:p>
    <w:p>
      <w:pPr>
        <w:pStyle w:val="Heading1"/>
        <w:spacing w:after="200" w:before="360"/>
      </w:pPr>
      <w:r>
        <w:rPr>
          <w:rFonts w:ascii="Arial" w:cs="Arial" w:eastAsia="Arial" w:hAnsi="Arial"/>
        </w:rPr>
        <w:t xml:space="preserve">I. Final Verdict</w:t>
      </w:r>
    </w:p>
    <w:p>
      <w:pPr>
        <w:pStyle w:val="Heading2"/>
        <w:spacing w:after="160" w:before="280"/>
      </w:pPr>
      <w:r>
        <w:rPr>
          <w:rFonts w:ascii="Arial" w:cs="Arial" w:eastAsia="Arial" w:hAnsi="Arial"/>
        </w:rPr>
        <w:t xml:space="preserve">Would this impress a PE / IB / TS employer?</w:t>
      </w:r>
    </w:p>
    <w:p>
      <w:pPr>
        <w:spacing w:after="160"/>
      </w:pPr>
      <w:r>
        <w:rPr>
          <w:rFonts w:ascii="Arial" w:cs="Arial" w:eastAsia="Arial" w:hAnsi="Arial"/>
          <w:b/>
          <w:bCs/>
          <w:sz w:val="21"/>
          <w:szCs w:val="21"/>
        </w:rPr>
        <w:t xml:space="preserve">Before fixing the identified issues: Not yet.</w:t>
      </w:r>
      <w:r>
        <w:rPr>
          <w:rFonts w:ascii="Arial" w:cs="Arial" w:eastAsia="Arial" w:hAnsi="Arial"/>
          <w:sz w:val="21"/>
          <w:szCs w:val="21"/>
        </w:rPr>
        <w:t xml:space="preserve"> The broken sensitivity table and the £17bn EBIT on the Assumptions tab would likely end the review. These are the kind of errors that signal “didn’t check their own work” — the worst possible impression in a detail-oriented profession.</w:t>
      </w:r>
    </w:p>
    <w:p>
      <w:pPr>
        <w:spacing w:after="160"/>
      </w:pPr>
      <w:r>
        <w:rPr>
          <w:rFonts w:ascii="Arial" w:cs="Arial" w:eastAsia="Arial" w:hAnsi="Arial"/>
          <w:b/>
          <w:bCs/>
          <w:sz w:val="21"/>
          <w:szCs w:val="21"/>
        </w:rPr>
        <w:t xml:space="preserve">After fixing items 1–5 (approximately 30 minutes of work): Yes, with caveats.</w:t>
      </w:r>
      <w:r>
        <w:rPr>
          <w:rFonts w:ascii="Arial" w:cs="Arial" w:eastAsia="Arial" w:hAnsi="Arial"/>
          <w:sz w:val="21"/>
          <w:szCs w:val="21"/>
        </w:rPr>
        <w:t xml:space="preserve"> This would be a strong graduate-level submission that demonstrates:</w:t>
      </w:r>
    </w:p>
    <w:p>
      <w:pPr>
        <w:pStyle w:val="ListParagraph"/>
        <w:numPr>
          <w:ilvl w:val="0"/>
          <w:numId w:val="3"/>
        </w:numPr>
        <w:spacing w:after="100"/>
      </w:pPr>
      <w:r>
        <w:rPr>
          <w:rFonts w:ascii="Arial" w:cs="Arial" w:eastAsia="Arial" w:hAnsi="Arial"/>
          <w:sz w:val="21"/>
          <w:szCs w:val="21"/>
        </w:rPr>
        <w:t xml:space="preserve">Genuine deal selection judgement (real deal, complex structure, honest returns)</w:t>
      </w:r>
    </w:p>
    <w:p>
      <w:pPr>
        <w:pStyle w:val="ListParagraph"/>
        <w:numPr>
          <w:ilvl w:val="0"/>
          <w:numId w:val="3"/>
        </w:numPr>
        <w:spacing w:after="100"/>
      </w:pPr>
      <w:r>
        <w:rPr>
          <w:rFonts w:ascii="Arial" w:cs="Arial" w:eastAsia="Arial" w:hAnsi="Arial"/>
          <w:sz w:val="21"/>
          <w:szCs w:val="21"/>
        </w:rPr>
        <w:t xml:space="preserve">Proper LBO mechanics (multi-tranche debt, PIK, cash sweep, sensitivity analysis)</w:t>
      </w:r>
    </w:p>
    <w:p>
      <w:pPr>
        <w:pStyle w:val="ListParagraph"/>
        <w:numPr>
          <w:ilvl w:val="0"/>
          <w:numId w:val="3"/>
        </w:numPr>
        <w:spacing w:after="100"/>
      </w:pPr>
      <w:r>
        <w:rPr>
          <w:rFonts w:ascii="Arial" w:cs="Arial" w:eastAsia="Arial" w:hAnsi="Arial"/>
          <w:sz w:val="21"/>
          <w:szCs w:val="21"/>
        </w:rPr>
        <w:t xml:space="preserve">Commercial thinking, not just number-crunching (the conclusion is analytically mature)</w:t>
      </w:r>
    </w:p>
    <w:p>
      <w:pPr>
        <w:pStyle w:val="ListParagraph"/>
        <w:numPr>
          <w:ilvl w:val="0"/>
          <w:numId w:val="3"/>
        </w:numPr>
        <w:spacing w:after="200"/>
      </w:pPr>
      <w:r>
        <w:rPr>
          <w:rFonts w:ascii="Arial" w:cs="Arial" w:eastAsia="Arial" w:hAnsi="Arial"/>
          <w:sz w:val="21"/>
          <w:szCs w:val="21"/>
        </w:rPr>
        <w:t xml:space="preserve">The critical narrative↔model linkage that most portfolio pieces lack</w:t>
      </w:r>
    </w:p>
    <w:p>
      <w:pPr>
        <w:spacing w:after="160"/>
      </w:pPr>
      <w:r>
        <w:rPr>
          <w:rFonts w:ascii="Arial" w:cs="Arial" w:eastAsia="Arial" w:hAnsi="Arial"/>
          <w:b/>
          <w:bCs/>
          <w:sz w:val="21"/>
          <w:szCs w:val="21"/>
        </w:rPr>
        <w:t xml:space="preserve">After additionally completing items 6–9 (approximately 90 more minutes): This reaches junior PE analyst standard.</w:t>
      </w:r>
      <w:r>
        <w:rPr>
          <w:rFonts w:ascii="Arial" w:cs="Arial" w:eastAsia="Arial" w:hAnsi="Arial"/>
          <w:sz w:val="21"/>
          <w:szCs w:val="21"/>
        </w:rPr>
        <w:t xml:space="preserve"> The addition of comparable transactions, proper tax treatment, credit metrics, and charts would move it from “strong graduate” to “credible first-year analyst work.”</w:t>
      </w:r>
    </w:p>
    <w:p>
      <w:pPr>
        <w:pStyle w:val="Heading2"/>
        <w:spacing w:after="160" w:before="280"/>
      </w:pPr>
      <w:r>
        <w:rPr>
          <w:rFonts w:ascii="Arial" w:cs="Arial" w:eastAsia="Arial" w:hAnsi="Arial"/>
        </w:rPr>
        <w:t xml:space="preserve">By Employer Type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3510"/>
        <w:gridCol w:w="3510"/>
      </w:tblGrid>
      <w:tr>
        <w:tc>
          <w:tcPr>
            <w:tcW w:type="dxa" w:w="27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Employer</w:t>
            </w:r>
          </w:p>
        </w:tc>
        <w:tc>
          <w:tcPr>
            <w:tcW w:type="dxa" w:w="351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Current State</w:t>
            </w:r>
          </w:p>
        </w:tc>
        <w:tc>
          <w:tcPr>
            <w:tcW w:type="dxa" w:w="351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After Fixes 1–9</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Private Equity</w:t>
            </w:r>
          </w:p>
        </w:tc>
        <w:tc>
          <w:tcPr>
            <w:tcW w:type="dxa" w:w="351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Would flag errors immediately. Good thesis and deal selection, but broken tables kill credibility.</w:t>
            </w:r>
          </w:p>
        </w:tc>
        <w:tc>
          <w:tcPr>
            <w:tcW w:type="dxa" w:w="351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Strong. The honest 8% IRR and analytical conclusion would differentiate from candidates showing inflated 25% IRR models.</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Investment Banking (M&amp;A)</w:t>
            </w:r>
          </w:p>
        </w:tc>
        <w:tc>
          <w:tcPr>
            <w:tcW w:type="dxa" w:w="351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Solid structure and formatting. Missing comps table is a gap for IB specifically.</w:t>
            </w:r>
          </w:p>
        </w:tc>
        <w:tc>
          <w:tcPr>
            <w:tcW w:type="dxa" w:w="351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Very strong with comps added. IB will appreciate the clean S&amp;U, proper color coding, and narrative quality.</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Big 4 Transaction Services</w:t>
            </w:r>
          </w:p>
        </w:tc>
        <w:tc>
          <w:tcPr>
            <w:tcW w:type="dxa" w:w="351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Good financial analysis. Missing credit metrics (ICR, DSCR) and balance sheet would be noticed in TS.</w:t>
            </w:r>
          </w:p>
        </w:tc>
        <w:tc>
          <w:tcPr>
            <w:tcW w:type="dxa" w:w="351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20"/>
                <w:szCs w:val="20"/>
              </w:rPr>
              <w:t xml:space="preserve">Strong. TS values auditability and traceability — both are solid once errors are fixed.</w:t>
            </w:r>
          </w:p>
        </w:tc>
      </w:tr>
    </w:tbl>
    <w:p>
      <w:pPr>
        <w:pBdr>
          <w:top w:val="single" w:color="1F4E79" w:sz="6" w:space="8"/>
        </w:pBdr>
        <w:spacing w:before="600"/>
      </w:pPr>
      <w:r>
        <w:rPr>
          <w:rFonts w:ascii="Arial" w:cs="Arial" w:eastAsia="Arial" w:hAnsi="Arial"/>
          <w:i/>
          <w:iCs/>
          <w:color w:val="666666"/>
          <w:sz w:val="21"/>
          <w:szCs w:val="21"/>
        </w:rPr>
        <w:t xml:space="preserve">Bottom line: This is genuinely good work with careless errors. Fix the bugs, add comps, and this becomes one of the stronger portfolio pieces a recent graduate could present. The deal choice, the honest returns, and the analytical conclusion are what interviewers remember — those are already excellent.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4B28" w:sz="6" w:space="1"/>
      </w:pBdr>
      <w:tabs>
        <w:tab w:val="right" w:pos="9026"/>
      </w:tabs>
    </w:pPr>
    <w:r>
      <w:rPr>
        <w:rFonts w:ascii="Arial" w:cs="Arial" w:eastAsia="Arial" w:hAnsi="Arial"/>
        <w:i/>
        <w:iCs/>
        <w:color w:val="999999"/>
        <w:sz w:val="16"/>
        <w:szCs w:val="16"/>
      </w:rPr>
      <w:t xml:space="preserve">REVIEW: Morrisons LBO Case Study</w:t>
    </w:r>
    <w:r>
      <w:rPr>
        <w:rFonts w:ascii="Arial" w:cs="Arial" w:eastAsia="Arial" w:hAnsi="Arial"/>
        <w:i/>
        <w:iCs/>
        <w:color w:val="999999"/>
        <w:sz w:val="16"/>
        <w:szCs w:val="16"/>
      </w:rPr>
      <w:t xml:space="preserve">	PE / IB / TS Standard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BF4B2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4823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2026-04-05T22:55:59.493Z</dcterms:created>
  <dcterms:modified xsi:type="dcterms:W3CDTF">2026-04-05T22:55:59.494Z</dcterms:modified>
</cp:coreProperties>
</file>

<file path=docProps/custom.xml><?xml version="1.0" encoding="utf-8"?>
<Properties xmlns="http://schemas.openxmlformats.org/officeDocument/2006/custom-properties" xmlns:vt="http://schemas.openxmlformats.org/officeDocument/2006/docPropsVTypes"/>
</file>