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Times New Roman" w:cs="Times New Roman" w:eastAsia="Times New Roman" w:hAnsi="Times New Roman"/>
          <w:b/>
          <w:bCs/>
          <w:color w:val="1F4E79"/>
          <w:sz w:val="44"/>
          <w:szCs w:val="44"/>
        </w:rPr>
        <w:t xml:space="preserve">TRANSACTION CASE STUDY</w:t>
      </w:r>
    </w:p>
    <w:p>
      <w:pPr>
        <w:pBdr>
          <w:bottom w:val="single" w:color="2E75B6" w:sz="6" w:space="8"/>
        </w:pBdr>
        <w:spacing w:after="100"/>
        <w:jc w:val="center"/>
      </w:pPr>
      <w:r>
        <w:rPr>
          <w:rFonts w:ascii="Times New Roman" w:cs="Times New Roman" w:eastAsia="Times New Roman" w:hAnsi="Times New Roman"/>
          <w:color w:val="2E75B6"/>
          <w:sz w:val="28"/>
          <w:szCs w:val="28"/>
        </w:rPr>
        <w:t xml:space="preserve">CD&amp;R Take-Private of Wm Morrison Supermarkets plc</w:t>
      </w:r>
    </w:p>
    <w:p>
      <w:pPr>
        <w:spacing w:after="100" w:before="400"/>
        <w:jc w:val="center"/>
      </w:pPr>
      <w:r>
        <w:rPr>
          <w:rFonts w:ascii="Times New Roman" w:cs="Times New Roman" w:eastAsia="Times New Roman" w:hAnsi="Times New Roman"/>
          <w:color w:val="666666"/>
          <w:sz w:val="22"/>
          <w:szCs w:val="22"/>
        </w:rPr>
        <w:t xml:space="preserve">Enterprise Value: £9.9bn  |  287p per Share  |  October 2021</w:t>
      </w:r>
    </w:p>
    <w:p>
      <w:pPr>
        <w:spacing w:before="1200"/>
        <w:jc w:val="center"/>
      </w:pPr>
      <w:r>
        <w:rPr>
          <w:rFonts w:ascii="Times New Roman" w:cs="Times New Roman" w:eastAsia="Times New Roman" w:hAnsi="Times New Roman"/>
          <w:color w:val="333333"/>
          <w:sz w:val="22"/>
          <w:szCs w:val="22"/>
        </w:rPr>
        <w:t xml:space="preserve">Prepared by Zak Whatmough</w:t>
      </w:r>
    </w:p>
    <w:p>
      <w:pPr>
        <w:jc w:val="center"/>
      </w:pPr>
      <w:r>
        <w:rPr>
          <w:rFonts w:ascii="Times New Roman" w:cs="Times New Roman" w:eastAsia="Times New Roman" w:hAnsi="Times New Roman"/>
          <w:color w:val="666666"/>
          <w:sz w:val="20"/>
          <w:szCs w:val="20"/>
        </w:rPr>
        <w:t xml:space="preserve">April 2026</w:t>
      </w:r>
    </w:p>
    <w:p>
      <w:r>
        <w:br w:type="page"/>
      </w:r>
    </w:p>
    <w:p>
      <w:pPr>
        <w:pStyle w:val="Heading1"/>
        <w:spacing w:after="200" w:before="360"/>
      </w:pPr>
      <w:r>
        <w:rPr>
          <w:rFonts w:ascii="Times New Roman" w:cs="Times New Roman" w:eastAsia="Times New Roman" w:hAnsi="Times New Roman"/>
        </w:rPr>
        <w:t xml:space="preserve">1. Executive summary</w:t>
      </w:r>
    </w:p>
    <w:p>
      <w:pPr>
        <w:spacing w:after="200" w:line="360"/>
        <w:jc w:val="both"/>
      </w:pPr>
      <w:r>
        <w:rPr>
          <w:rFonts w:ascii="Times New Roman" w:cs="Times New Roman" w:eastAsia="Times New Roman" w:hAnsi="Times New Roman"/>
          <w:sz w:val="22"/>
          <w:szCs w:val="22"/>
        </w:rPr>
        <w:t xml:space="preserve">In October 2021, Clayton, Dubilier &amp; Rice (CD&amp;R) completed the take-private acquisition of Wm Morrison Supermarkets plc, the UK's fourth largest grocery retailer, for 287 pence per share. The transaction implied an enterprise value of approximately £9.9 billion and a 61% premium to the undisturbed share price. CD&amp;R won a competitive auction against a consortium led by Fortress Investment Group, with a final bid of 287p versus Fortress's 286p.</w:t>
      </w:r>
    </w:p>
    <w:p>
      <w:pPr>
        <w:spacing w:after="200" w:line="360"/>
        <w:jc w:val="both"/>
      </w:pPr>
      <w:r>
        <w:rPr>
          <w:rFonts w:ascii="Times New Roman" w:cs="Times New Roman" w:eastAsia="Times New Roman" w:hAnsi="Times New Roman"/>
          <w:sz w:val="22"/>
          <w:szCs w:val="22"/>
        </w:rPr>
        <w:t xml:space="preserve">The deal was financed with approximately £6.3 billion of debt across senior secured term loans, secured and unsecured notes, and preference shares, alongside £4.0 billion of equity from CD&amp;R and management. Entry leverage was 5.8x LTM EBITDA. The financing structure leaned heavily on Morrisons' asset base: the company owned roughly 85% of its store estate as freehold property, which gave lenders comfort and left open options for future property-backed transactions.</w:t>
      </w:r>
    </w:p>
    <w:p>
      <w:pPr>
        <w:spacing w:after="200" w:line="360"/>
        <w:jc w:val="both"/>
      </w:pPr>
      <w:r>
        <w:rPr>
          <w:rFonts w:ascii="Times New Roman" w:cs="Times New Roman" w:eastAsia="Times New Roman" w:hAnsi="Times New Roman"/>
          <w:sz w:val="22"/>
          <w:szCs w:val="22"/>
        </w:rPr>
        <w:t xml:space="preserve">This case study evaluates the transaction from the perspective of CD&amp;R's investment committee at the time of the deal. The accompanying LBO model projects a </w:t>
      </w:r>
      <w:r>
        <w:rPr>
          <w:rFonts w:ascii="Times New Roman" w:cs="Times New Roman" w:eastAsia="Times New Roman" w:hAnsi="Times New Roman"/>
          <w:b/>
          <w:bCs/>
          <w:sz w:val="22"/>
          <w:szCs w:val="22"/>
        </w:rPr>
        <w:t xml:space="preserve">base case IRR of 8.9% and 1.53x MoM over a five year hold</w:t>
      </w:r>
      <w:r>
        <w:rPr>
          <w:rFonts w:ascii="Times New Roman" w:cs="Times New Roman" w:eastAsia="Times New Roman" w:hAnsi="Times New Roman"/>
          <w:sz w:val="22"/>
          <w:szCs w:val="22"/>
        </w:rPr>
        <w:t xml:space="preserve">, driven primarily by EBITDA growth from margin improvement (6.1% to 7.2%) against modest multiple contraction. The competitive auction dynamics pushed the entry price to a level where returns depend almost entirely on operational execution rather than financial engineering.</w:t>
      </w:r>
    </w:p>
    <w:p>
      <w:pPr>
        <w:spacing w:after="100" w:before="200"/>
      </w:pPr>
      <w:r>
        <w:rPr>
          <w:rFonts w:ascii="Times New Roman" w:cs="Times New Roman" w:eastAsia="Times New Roman" w:hAnsi="Times New Roman"/>
          <w:b/>
          <w:bCs/>
          <w:color w:val="1F4E79"/>
          <w:sz w:val="22"/>
          <w:szCs w:val="22"/>
        </w:rPr>
        <w:t xml:space="preserve">Deal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Context</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Enterprise Value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£9.9bn</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9.2x LTM EBITDA</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Equity Value</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£6.9bn</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287p/share, 61% premium</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LTM Revenue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£17.6bn</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497 stores, 110k employees</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LTM EBITDA</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£1,078m</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6.1% margin</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Entry Leverage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5.8x</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Total Debt / LTM EBITDA</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Sponsor Equity</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£3.8bn</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CD&amp;R + £200m mgmt rollover</w:t>
            </w:r>
          </w:p>
        </w:tc>
      </w:tr>
    </w:tbl>
    <w:p>
      <w:r>
        <w:br w:type="page"/>
      </w:r>
    </w:p>
    <w:p>
      <w:pPr>
        <w:pStyle w:val="Heading1"/>
        <w:spacing w:after="200" w:before="360"/>
      </w:pPr>
      <w:r>
        <w:rPr>
          <w:rFonts w:ascii="Times New Roman" w:cs="Times New Roman" w:eastAsia="Times New Roman" w:hAnsi="Times New Roman"/>
        </w:rPr>
        <w:t xml:space="preserve">2. Investment thesis</w:t>
      </w:r>
    </w:p>
    <w:p>
      <w:pPr>
        <w:spacing w:after="200" w:line="360"/>
        <w:jc w:val="both"/>
      </w:pPr>
      <w:r>
        <w:rPr>
          <w:rFonts w:ascii="Times New Roman" w:cs="Times New Roman" w:eastAsia="Times New Roman" w:hAnsi="Times New Roman"/>
          <w:sz w:val="22"/>
          <w:szCs w:val="22"/>
        </w:rPr>
        <w:t xml:space="preserve">CD&amp;R's investment thesis centred on three things: Morrisons' vertically integrated operating model, its freehold property portfolio, and the potential for margin improvement once the business was out of public markets.</w:t>
      </w:r>
    </w:p>
    <w:p>
      <w:pPr>
        <w:pStyle w:val="Heading2"/>
        <w:spacing w:after="200" w:before="360"/>
      </w:pPr>
      <w:r>
        <w:rPr>
          <w:rFonts w:ascii="Times New Roman" w:cs="Times New Roman" w:eastAsia="Times New Roman" w:hAnsi="Times New Roman"/>
        </w:rPr>
        <w:t xml:space="preserve">2.1 Vertical integration</w:t>
      </w:r>
    </w:p>
    <w:p>
      <w:pPr>
        <w:spacing w:after="200" w:line="360"/>
        <w:jc w:val="both"/>
      </w:pPr>
      <w:r>
        <w:rPr>
          <w:rFonts w:ascii="Times New Roman" w:cs="Times New Roman" w:eastAsia="Times New Roman" w:hAnsi="Times New Roman"/>
          <w:sz w:val="22"/>
          <w:szCs w:val="22"/>
        </w:rPr>
        <w:t xml:space="preserve">Morrisons is the only major UK grocer that manufactures a significant portion of its own-brand products through in-house food processing facilities. This gives the business real advantages in cost control, quality, and supply chain speed that competitors cannot easily copy. In an inflationary environment, the ability to control input costs through owned manufacturing is worth a lot. None of the other Big Four have anything comparable.</w:t>
      </w:r>
    </w:p>
    <w:p>
      <w:pPr>
        <w:pStyle w:val="Heading2"/>
        <w:spacing w:after="200" w:before="360"/>
      </w:pPr>
      <w:r>
        <w:rPr>
          <w:rFonts w:ascii="Times New Roman" w:cs="Times New Roman" w:eastAsia="Times New Roman" w:hAnsi="Times New Roman"/>
        </w:rPr>
        <w:t xml:space="preserve">2.2 Property portfolio</w:t>
      </w:r>
    </w:p>
    <w:p>
      <w:pPr>
        <w:spacing w:after="200" w:line="360"/>
        <w:jc w:val="both"/>
      </w:pPr>
      <w:r>
        <w:rPr>
          <w:rFonts w:ascii="Times New Roman" w:cs="Times New Roman" w:eastAsia="Times New Roman" w:hAnsi="Times New Roman"/>
          <w:sz w:val="22"/>
          <w:szCs w:val="22"/>
        </w:rPr>
        <w:t xml:space="preserve">Roughly 85% of Morrisons' 497 stores are held as freehold. The property portfolio was independently valued at well above what the operating business implied. CD&amp;R initially pledged not to pursue material sale-and-leaseback transactions, recognising the strategic value of ownership. But the property also gave them options: the ability to raise capital through property deals if needed, without diluting equity or taking on refinancing risk. In practice, CD&amp;R subsequently raised approximately £3.2 billion through various property-backed structures, which gives a sense of the value that was sitting in the real estate.</w:t>
      </w:r>
    </w:p>
    <w:p>
      <w:pPr>
        <w:pStyle w:val="Heading2"/>
        <w:spacing w:after="200" w:before="360"/>
      </w:pPr>
      <w:r>
        <w:rPr>
          <w:rFonts w:ascii="Times New Roman" w:cs="Times New Roman" w:eastAsia="Times New Roman" w:hAnsi="Times New Roman"/>
        </w:rPr>
        <w:t xml:space="preserve">2.3 Margin recovery under private ownership</w:t>
      </w:r>
    </w:p>
    <w:p>
      <w:pPr>
        <w:spacing w:after="200" w:line="360"/>
        <w:jc w:val="both"/>
      </w:pPr>
      <w:r>
        <w:rPr>
          <w:rFonts w:ascii="Times New Roman" w:cs="Times New Roman" w:eastAsia="Times New Roman" w:hAnsi="Times New Roman"/>
          <w:sz w:val="22"/>
          <w:szCs w:val="22"/>
        </w:rPr>
        <w:t xml:space="preserve">Morrisons' LTM EBITDA margin of 6.1% at the time of the deal was below its historical peak and below the levels achieved by better performing peers. Tesco, for instance, was running at an EBITDA margin of roughly 6.8%, while Sainsbury's sat at around 5.5%. The thesis was that private ownership would let management, led by CEO David Potts, pursue longer horizon initiatives without quarterly earnings pressure. Potts had already shown he could turn the business around since his 2015 appointment, stabilising Morrisons after a period of drift under his predecessor.</w:t>
      </w:r>
    </w:p>
    <w:p>
      <w:pPr>
        <w:spacing w:after="200" w:line="360"/>
        <w:jc w:val="both"/>
      </w:pPr>
      <w:r>
        <w:rPr>
          <w:rFonts w:ascii="Times New Roman" w:cs="Times New Roman" w:eastAsia="Times New Roman" w:hAnsi="Times New Roman"/>
          <w:b/>
          <w:bCs/>
          <w:sz w:val="22"/>
          <w:szCs w:val="22"/>
        </w:rPr>
        <w:t xml:space="preserve">The model assumes margin expansion from 6.1% to 7.2% over five years, which is the primary value driver. At a base case exit multiple of 8.5x, this margin improvement alone contributes approximately £3.1 billion to exit equity value.</w:t>
      </w:r>
    </w:p>
    <w:p>
      <w:pPr>
        <w:pStyle w:val="Heading2"/>
        <w:spacing w:after="200" w:before="360"/>
      </w:pPr>
      <w:r>
        <w:rPr>
          <w:rFonts w:ascii="Times New Roman" w:cs="Times New Roman" w:eastAsia="Times New Roman" w:hAnsi="Times New Roman"/>
        </w:rPr>
        <w:t xml:space="preserve">2.4 Comparable transaction context</w:t>
      </w:r>
    </w:p>
    <w:p>
      <w:pPr>
        <w:spacing w:after="200" w:line="360"/>
        <w:jc w:val="both"/>
      </w:pPr>
      <w:r>
        <w:rPr>
          <w:rFonts w:ascii="Times New Roman" w:cs="Times New Roman" w:eastAsia="Times New Roman" w:hAnsi="Times New Roman"/>
          <w:sz w:val="22"/>
          <w:szCs w:val="22"/>
        </w:rPr>
        <w:t xml:space="preserve">The Morrisons acquisition did not happen in isolation. UK grocery had seen a series of large ownership transactions in the preceding years, which provide useful valuation benchmarks for CD&amp;R's pricing.</w:t>
      </w:r>
    </w:p>
    <w:p>
      <w:pPr>
        <w:spacing w:after="100" w:before="200"/>
      </w:pPr>
      <w:r>
        <w:rPr>
          <w:rFonts w:ascii="Times New Roman" w:cs="Times New Roman" w:eastAsia="Times New Roman" w:hAnsi="Times New Roman"/>
          <w:b/>
          <w:bCs/>
          <w:color w:val="1F4E79"/>
          <w:sz w:val="22"/>
          <w:szCs w:val="22"/>
        </w:rPr>
        <w:t xml:space="preserve">Selected UK grocery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Transaction</w:t>
            </w:r>
          </w:p>
        </w:tc>
        <w:tc>
          <w:tcPr>
            <w:tcW w:type="dxa" w:w="1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Year</w:t>
            </w:r>
          </w:p>
        </w:tc>
        <w:tc>
          <w:tcPr>
            <w:tcW w:type="dxa" w:w="1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EV</w:t>
            </w:r>
          </w:p>
        </w:tc>
        <w:tc>
          <w:tcPr>
            <w:tcW w:type="dxa" w:w="1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EV/EBITDA</w:t>
            </w:r>
          </w:p>
        </w:tc>
        <w:tc>
          <w:tcPr>
            <w:tcW w:type="dxa" w:w="234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Buyer</w:t>
            </w:r>
          </w:p>
        </w:tc>
      </w:tr>
      <w:tr>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Morrisons</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2021</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£9.9bn</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9.2x</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CD&amp;R</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Asda</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2021</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£6.8bn</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~7-8x</w:t>
            </w:r>
          </w:p>
        </w:tc>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TDR Capital / Issa Bros</w:t>
            </w:r>
          </w:p>
        </w:tc>
      </w:tr>
      <w:tr>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Tesco-Booker</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2018</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£4.0bn</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~14x</w:t>
            </w:r>
          </w:p>
        </w:tc>
        <w:tc>
          <w:tcPr>
            <w:tcW w:type="dxa" w:w="2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Tesco (strategic)</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Sainsbury's-Asda (failed)</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2018</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£12bn+</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n/a</w:t>
            </w:r>
          </w:p>
        </w:tc>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Blocked by CMA</w:t>
            </w:r>
          </w:p>
        </w:tc>
      </w:tr>
    </w:tbl>
    <w:p>
      <w:pPr>
        <w:spacing w:after="200" w:line="360"/>
        <w:jc w:val="both"/>
      </w:pPr>
      <w:r>
        <w:rPr>
          <w:rFonts w:ascii="Times New Roman" w:cs="Times New Roman" w:eastAsia="Times New Roman" w:hAnsi="Times New Roman"/>
          <w:sz w:val="22"/>
          <w:szCs w:val="22"/>
        </w:rPr>
        <w:t xml:space="preserve">
The most relevant comparator is the Asda take-private by TDR Capital and the Issa brothers, which completed in early 2021 at an enterprise value of roughly £6.8 billion, implying about 7 to 8x EBITDA. CD&amp;R's willingness to pay 9.2x for Morrisons reflected the premium placed on the freehold property and vertical integration. Asda, by contrast, had already been through significant sale-and-leaseback activity under Walmart and lacked Morrisons' manufacturing assets. The Tesco-Booker merger in 2018 was a strategic combination rather than a financial buyout, and the premium reflected wholesale distribution synergies rather than standalone LBO economics.</w:t>
      </w:r>
    </w:p>
    <w:p>
      <w:r>
        <w:br w:type="page"/>
      </w:r>
    </w:p>
    <w:p>
      <w:pPr>
        <w:pStyle w:val="Heading1"/>
        <w:spacing w:after="200" w:before="360"/>
      </w:pPr>
      <w:r>
        <w:rPr>
          <w:rFonts w:ascii="Times New Roman" w:cs="Times New Roman" w:eastAsia="Times New Roman" w:hAnsi="Times New Roman"/>
        </w:rPr>
        <w:t xml:space="preserve">3. Industry context</w:t>
      </w:r>
    </w:p>
    <w:p>
      <w:pPr>
        <w:spacing w:after="200" w:line="360"/>
        <w:jc w:val="both"/>
      </w:pPr>
      <w:r>
        <w:rPr>
          <w:rFonts w:ascii="Times New Roman" w:cs="Times New Roman" w:eastAsia="Times New Roman" w:hAnsi="Times New Roman"/>
          <w:sz w:val="22"/>
          <w:szCs w:val="22"/>
        </w:rPr>
        <w:t xml:space="preserve">The UK grocery market in 2021 was a £200 billion+ sector defined by tight competition, thin margins, and structural shifts that created both risk and opportunity for an acquirer.</w:t>
      </w:r>
    </w:p>
    <w:p>
      <w:pPr>
        <w:pStyle w:val="Heading2"/>
        <w:spacing w:after="200" w:before="360"/>
      </w:pPr>
      <w:r>
        <w:rPr>
          <w:rFonts w:ascii="Times New Roman" w:cs="Times New Roman" w:eastAsia="Times New Roman" w:hAnsi="Times New Roman"/>
        </w:rPr>
        <w:t xml:space="preserve">3.1 Competitive landscape</w:t>
      </w:r>
    </w:p>
    <w:p>
      <w:pPr>
        <w:spacing w:after="200" w:line="360"/>
        <w:jc w:val="both"/>
      </w:pPr>
      <w:r>
        <w:rPr>
          <w:rFonts w:ascii="Times New Roman" w:cs="Times New Roman" w:eastAsia="Times New Roman" w:hAnsi="Times New Roman"/>
          <w:sz w:val="22"/>
          <w:szCs w:val="22"/>
        </w:rPr>
        <w:t xml:space="preserve">The Big Four (Tesco, Sainsbury's, Asda, Morrisons) collectively held approximately 65% market share, but the discounters Aldi and Lidl had been gaining ground steadily, reaching a combined share of over 15% by 2021. This shift compressed industry margins and forced incumbents to invest in price competitiveness, technology, and smaller format stores. Morrisons, as the smallest of the Big Four with approximately 10% share, was more exposed to this squeeze than its larger peers.</w:t>
      </w:r>
    </w:p>
    <w:p>
      <w:pPr>
        <w:pStyle w:val="Heading2"/>
        <w:spacing w:after="200" w:before="360"/>
      </w:pPr>
      <w:r>
        <w:rPr>
          <w:rFonts w:ascii="Times New Roman" w:cs="Times New Roman" w:eastAsia="Times New Roman" w:hAnsi="Times New Roman"/>
        </w:rPr>
        <w:t xml:space="preserve">3.2 Post-COVID dynamics</w:t>
      </w:r>
    </w:p>
    <w:p>
      <w:pPr>
        <w:spacing w:after="200" w:line="360"/>
        <w:jc w:val="both"/>
      </w:pPr>
      <w:r>
        <w:rPr>
          <w:rFonts w:ascii="Times New Roman" w:cs="Times New Roman" w:eastAsia="Times New Roman" w:hAnsi="Times New Roman"/>
          <w:sz w:val="22"/>
          <w:szCs w:val="22"/>
        </w:rPr>
        <w:t xml:space="preserve">The pandemic pushed online grocery adoption from approximately 7% of sales to over 13% in 2021. While this created revenue opportunities, online fulfilment carried structurally lower margins than in-store shopping. Morrisons' partnerships with Ocado and Amazon gave it distribution capability but at a cost to profitability. The question for CD&amp;R was whether the online channel could eventually be made margin-positive through scale and efficiency.</w:t>
      </w:r>
    </w:p>
    <w:p>
      <w:pPr>
        <w:pStyle w:val="Heading2"/>
        <w:spacing w:after="200" w:before="360"/>
      </w:pPr>
      <w:r>
        <w:rPr>
          <w:rFonts w:ascii="Times New Roman" w:cs="Times New Roman" w:eastAsia="Times New Roman" w:hAnsi="Times New Roman"/>
        </w:rPr>
        <w:t xml:space="preserve">3.3 Inflationary pressures</w:t>
      </w:r>
    </w:p>
    <w:p>
      <w:pPr>
        <w:spacing w:after="200" w:line="360"/>
        <w:jc w:val="both"/>
      </w:pPr>
      <w:r>
        <w:rPr>
          <w:rFonts w:ascii="Times New Roman" w:cs="Times New Roman" w:eastAsia="Times New Roman" w:hAnsi="Times New Roman"/>
          <w:sz w:val="22"/>
          <w:szCs w:val="22"/>
        </w:rPr>
        <w:t xml:space="preserve">By late 2021, food price inflation was starting to become a material concern, driven by supply chain disruption, rising energy costs, and post-Brexit labour shortages. For Morrisons, this cut both ways: its vertical integration provided some insulation from input cost rises, but consumer price sensitivity in grocery meant that passing through inflation risked losing volume. The model's assumed revenue growth of 2 to 3% per annum implicitly includes a mix of modest volume growth and inflation pass-through.</w:t>
      </w:r>
    </w:p>
    <w:p>
      <w:r>
        <w:br w:type="page"/>
      </w:r>
    </w:p>
    <w:p>
      <w:pPr>
        <w:pStyle w:val="Heading1"/>
        <w:spacing w:after="200" w:before="360"/>
      </w:pPr>
      <w:r>
        <w:rPr>
          <w:rFonts w:ascii="Times New Roman" w:cs="Times New Roman" w:eastAsia="Times New Roman" w:hAnsi="Times New Roman"/>
        </w:rPr>
        <w:t xml:space="preserve">4. Value creation plan</w:t>
      </w:r>
    </w:p>
    <w:p>
      <w:pPr>
        <w:spacing w:after="200" w:line="360"/>
        <w:jc w:val="both"/>
      </w:pPr>
      <w:r>
        <w:rPr>
          <w:rFonts w:ascii="Times New Roman" w:cs="Times New Roman" w:eastAsia="Times New Roman" w:hAnsi="Times New Roman"/>
          <w:sz w:val="22"/>
          <w:szCs w:val="22"/>
        </w:rPr>
        <w:t xml:space="preserve">The value creation bridge in the base case shows that </w:t>
      </w:r>
      <w:r>
        <w:rPr>
          <w:rFonts w:ascii="Times New Roman" w:cs="Times New Roman" w:eastAsia="Times New Roman" w:hAnsi="Times New Roman"/>
          <w:b/>
          <w:bCs/>
          <w:sz w:val="22"/>
          <w:szCs w:val="22"/>
        </w:rPr>
        <w:t xml:space="preserve">almost all of the equity return comes from EBITDA growth (£3.1bn), partially offset by multiple contraction (£715m) and transaction fees and cross-effects (£450m). Net debt paydown contributes £241 million to equity value</w:t>
      </w:r>
      <w:r>
        <w:rPr>
          <w:rFonts w:ascii="Times New Roman" w:cs="Times New Roman" w:eastAsia="Times New Roman" w:hAnsi="Times New Roman"/>
          <w:sz w:val="22"/>
          <w:szCs w:val="22"/>
        </w:rPr>
        <w:t xml:space="preserve">, which is limited by the PIK preference shares compounding from £1.3bn to £2.1bn over the hold period. The deal lives or dies on operational improvement.</w:t>
      </w:r>
    </w:p>
    <w:p>
      <w:pPr>
        <w:spacing w:after="100" w:before="200"/>
      </w:pPr>
      <w:r>
        <w:rPr>
          <w:rFonts w:ascii="Times New Roman" w:cs="Times New Roman" w:eastAsia="Times New Roman" w:hAnsi="Times New Roman"/>
          <w:b/>
          <w:bCs/>
          <w:color w:val="1F4E79"/>
          <w:sz w:val="22"/>
          <w:szCs w:val="22"/>
        </w:rPr>
        <w:t xml:space="preserve">Value creation bridge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3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w:t>
            </w:r>
          </w:p>
        </w:tc>
      </w:tr>
      <w:tr>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Entry Equity</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4,028</w:t>
            </w:r>
          </w:p>
        </w:tc>
      </w:tr>
      <w:tr>
        <w:tc>
          <w:tcPr>
            <w:tcW w:type="dxa" w:w="5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EBITDA Growth Effect</w:t>
            </w:r>
          </w:p>
        </w:tc>
        <w:tc>
          <w:tcPr>
            <w:tcW w:type="dxa" w:w="3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3,058</w:t>
            </w:r>
          </w:p>
        </w:tc>
      </w:tr>
      <w:tr>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Multiple Contraction</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(715)</w:t>
            </w:r>
          </w:p>
        </w:tc>
      </w:tr>
      <w:tr>
        <w:tc>
          <w:tcPr>
            <w:tcW w:type="dxa" w:w="5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Net Debt Paydown</w:t>
            </w:r>
          </w:p>
        </w:tc>
        <w:tc>
          <w:tcPr>
            <w:tcW w:type="dxa" w:w="3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241</w:t>
            </w:r>
          </w:p>
        </w:tc>
      </w:tr>
      <w:tr>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Cross-Effects &amp; Fees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(450)</w:t>
            </w:r>
          </w:p>
        </w:tc>
      </w:tr>
      <w:tr>
        <w:tc>
          <w:tcPr>
            <w:tcW w:type="dxa" w:w="54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Exit Equity</w:t>
            </w:r>
          </w:p>
        </w:tc>
        <w:tc>
          <w:tcPr>
            <w:tcW w:type="dxa" w:w="3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right"/>
            </w:pPr>
            <w:r>
              <w:rPr>
                <w:rFonts w:ascii="Times New Roman" w:cs="Times New Roman" w:eastAsia="Times New Roman" w:hAnsi="Times New Roman"/>
                <w:b/>
                <w:bCs/>
                <w:color w:val="FFFFFF"/>
                <w:sz w:val="20"/>
                <w:szCs w:val="20"/>
              </w:rPr>
              <w:t xml:space="preserve">6,162</w:t>
            </w:r>
          </w:p>
        </w:tc>
      </w:tr>
    </w:tbl>
    <w:p>
      <w:pPr>
        <w:pStyle w:val="Heading2"/>
        <w:spacing w:after="200" w:before="360"/>
      </w:pPr>
      <w:r>
        <w:rPr>
          <w:rFonts w:ascii="Times New Roman" w:cs="Times New Roman" w:eastAsia="Times New Roman" w:hAnsi="Times New Roman"/>
        </w:rPr>
        <w:t xml:space="preserve">4.1 Revenue growth</w:t>
      </w:r>
    </w:p>
    <w:p>
      <w:pPr>
        <w:spacing w:after="200" w:line="360"/>
        <w:jc w:val="both"/>
      </w:pPr>
      <w:r>
        <w:rPr>
          <w:rFonts w:ascii="Times New Roman" w:cs="Times New Roman" w:eastAsia="Times New Roman" w:hAnsi="Times New Roman"/>
          <w:sz w:val="22"/>
          <w:szCs w:val="22"/>
        </w:rPr>
        <w:t xml:space="preserve">The model assumes revenue growth of 2.0 to 3.0% per annum, taking revenue from £17.6bn at entry to £20.0bn by Year 5. This is conservative relative to market growth and implies Morrisons broadly maintains its market share. There is potential upside from the wholesale channel (supplying independent retailers through the McColl's network, acquired in 2022) and from expanding online fulfilment capacity.</w:t>
      </w:r>
    </w:p>
    <w:p>
      <w:pPr>
        <w:pStyle w:val="Heading2"/>
        <w:spacing w:after="200" w:before="360"/>
      </w:pPr>
      <w:r>
        <w:rPr>
          <w:rFonts w:ascii="Times New Roman" w:cs="Times New Roman" w:eastAsia="Times New Roman" w:hAnsi="Times New Roman"/>
        </w:rPr>
        <w:t xml:space="preserve">4.2 Margin improvement</w:t>
      </w:r>
    </w:p>
    <w:p>
      <w:pPr>
        <w:spacing w:after="200" w:line="360"/>
        <w:jc w:val="both"/>
      </w:pPr>
      <w:r>
        <w:rPr>
          <w:rFonts w:ascii="Times New Roman" w:cs="Times New Roman" w:eastAsia="Times New Roman" w:hAnsi="Times New Roman"/>
          <w:sz w:val="22"/>
          <w:szCs w:val="22"/>
        </w:rPr>
        <w:t xml:space="preserve">EBITDA margin expansion from 6.1% to 7.2% is the primary value driver. At the Year 5 revenue base of £20.0bn, each 50 basis points of margin improvement generates approximately £100m of incremental EBITDA, worth £850m of enterprise value at an 8.5x exit multiple. The expected sources of margin improvement are:</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Supply chain optimisation: using the vertical integration to reduce procurement costs, consolidating distribution, and cutting fresh food waste (estimated at 1 to 2% of revenue across UK grocery)</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Own-brand penetration: increasing the mix of higher margin own-brand products, where Morrisons' manufacturing capability gives it a natural advantage</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Labour productivity: investing in automation and self-checkout technology, optimising store staffing models</w:t>
      </w:r>
    </w:p>
    <w:p>
      <w:pPr>
        <w:pStyle w:val="ListParagraph"/>
        <w:numPr>
          <w:ilvl w:val="0"/>
          <w:numId w:val="2"/>
        </w:numPr>
        <w:spacing w:after="200" w:line="360"/>
        <w:jc w:val="both"/>
      </w:pPr>
      <w:r>
        <w:rPr>
          <w:rFonts w:ascii="Times New Roman" w:cs="Times New Roman" w:eastAsia="Times New Roman" w:hAnsi="Times New Roman"/>
          <w:sz w:val="22"/>
          <w:szCs w:val="22"/>
        </w:rPr>
        <w:t xml:space="preserve">Online efficiency: scaling online fulfilment to improve unit economics, renegotiating third party delivery arrangements</w:t>
      </w:r>
    </w:p>
    <w:p>
      <w:pPr>
        <w:pStyle w:val="Heading2"/>
        <w:spacing w:after="200" w:before="360"/>
      </w:pPr>
      <w:r>
        <w:rPr>
          <w:rFonts w:ascii="Times New Roman" w:cs="Times New Roman" w:eastAsia="Times New Roman" w:hAnsi="Times New Roman"/>
        </w:rPr>
        <w:t xml:space="preserve">4.3 Deleveraging profile</w:t>
      </w:r>
    </w:p>
    <w:p>
      <w:pPr>
        <w:spacing w:after="200" w:line="360"/>
        <w:jc w:val="both"/>
      </w:pPr>
      <w:r>
        <w:rPr>
          <w:rFonts w:ascii="Times New Roman" w:cs="Times New Roman" w:eastAsia="Times New Roman" w:hAnsi="Times New Roman"/>
          <w:sz w:val="22"/>
          <w:szCs w:val="22"/>
        </w:rPr>
        <w:t xml:space="preserve">Total leverage declines from 5.8x at entry to 4.2x by Year 5 on an end of period basis, driven by EBITDA growth and TLB amortisation (1% mandatory plus cash sweep at 50% of excess cash flow). However, </w:t>
      </w:r>
      <w:r>
        <w:rPr>
          <w:rFonts w:ascii="Times New Roman" w:cs="Times New Roman" w:eastAsia="Times New Roman" w:hAnsi="Times New Roman"/>
          <w:b/>
          <w:bCs/>
          <w:sz w:val="22"/>
          <w:szCs w:val="22"/>
        </w:rPr>
        <w:t xml:space="preserve">absolute debt reduction is limited by the PIK preference shares, which accrue at 10% annually and grow from £1.3bn to £2.1bn. Approximately £1,035m of TLB repayment is largely offset by this PIK accrual, so total debt only falls from £6.3bn to £6.1bn in absolute terms.</w:t>
      </w:r>
      <w:r>
        <w:rPr>
          <w:rFonts w:ascii="Times New Roman" w:cs="Times New Roman" w:eastAsia="Times New Roman" w:hAnsi="Times New Roman"/>
          <w:sz w:val="22"/>
          <w:szCs w:val="22"/>
        </w:rPr>
        <w:t xml:space="preserve"> The deleveraging story here is about growing into the debt, not paying it down.</w:t>
      </w:r>
    </w:p>
    <w:p>
      <w:pPr>
        <w:spacing w:after="200" w:line="360"/>
        <w:jc w:val="both"/>
      </w:pPr>
      <w:r>
        <w:rPr>
          <w:rFonts w:ascii="Times New Roman" w:cs="Times New Roman" w:eastAsia="Times New Roman" w:hAnsi="Times New Roman"/>
          <w:sz w:val="22"/>
          <w:szCs w:val="22"/>
        </w:rPr>
        <w:t xml:space="preserve">The interest coverage ratio improves from 3.4x in Year 1 to 5.0x by Year 5, as EBITDA growth outpaces a declining cash interest burden. Annual cash interest of approximately £331m in Year 1 falls to approximately £289m by Year 5 as the TLB balance reduces.</w:t>
      </w:r>
    </w:p>
    <w:p>
      <w:pPr>
        <w:pStyle w:val="Heading2"/>
        <w:spacing w:after="200" w:before="360"/>
      </w:pPr>
      <w:r>
        <w:rPr>
          <w:rFonts w:ascii="Times New Roman" w:cs="Times New Roman" w:eastAsia="Times New Roman" w:hAnsi="Times New Roman"/>
        </w:rPr>
        <w:t xml:space="preserve">4.4 Property optionality</w:t>
      </w:r>
    </w:p>
    <w:p>
      <w:pPr>
        <w:spacing w:after="200" w:line="360"/>
        <w:jc w:val="both"/>
      </w:pPr>
      <w:r>
        <w:rPr>
          <w:rFonts w:ascii="Times New Roman" w:cs="Times New Roman" w:eastAsia="Times New Roman" w:hAnsi="Times New Roman"/>
          <w:sz w:val="22"/>
          <w:szCs w:val="22"/>
        </w:rPr>
        <w:t xml:space="preserve">The base model does not include property-backed value creation, but the freehold estate is a significant source of optionality. Post-acquisition, CD&amp;R raised approximately £3.2bn through sale-and-leaseback and other property-backed transactions, which demonstrates the value embedded in the real estate. Including property monetisation in the base case would improve returns materially by enabling faster debt paydown.</w:t>
      </w:r>
    </w:p>
    <w:p>
      <w:r>
        <w:br w:type="page"/>
      </w:r>
    </w:p>
    <w:p>
      <w:pPr>
        <w:pStyle w:val="Heading1"/>
        <w:spacing w:after="200" w:before="360"/>
      </w:pPr>
      <w:r>
        <w:rPr>
          <w:rFonts w:ascii="Times New Roman" w:cs="Times New Roman" w:eastAsia="Times New Roman" w:hAnsi="Times New Roman"/>
        </w:rPr>
        <w:t xml:space="preserve">5. Key risks</w:t>
      </w:r>
    </w:p>
    <w:p>
      <w:pPr>
        <w:pStyle w:val="Heading2"/>
        <w:spacing w:after="200" w:before="360"/>
      </w:pPr>
      <w:r>
        <w:rPr>
          <w:rFonts w:ascii="Times New Roman" w:cs="Times New Roman" w:eastAsia="Times New Roman" w:hAnsi="Times New Roman"/>
        </w:rPr>
        <w:t xml:space="preserve">5.1 Overpayment risk</w:t>
      </w:r>
    </w:p>
    <w:p>
      <w:pPr>
        <w:spacing w:after="200" w:line="360"/>
        <w:jc w:val="both"/>
      </w:pPr>
      <w:r>
        <w:rPr>
          <w:rFonts w:ascii="Times New Roman" w:cs="Times New Roman" w:eastAsia="Times New Roman" w:hAnsi="Times New Roman"/>
          <w:sz w:val="22"/>
          <w:szCs w:val="22"/>
        </w:rPr>
        <w:t xml:space="preserve">The most obvious risk is that CD&amp;R overpaid in a competitive auction. The entry multiple of 9.2x EBITDA reflected a 61% premium to the undisturbed price, which is a full valuation for a mature UK grocery business. </w:t>
      </w:r>
      <w:r>
        <w:rPr>
          <w:rFonts w:ascii="Times New Roman" w:cs="Times New Roman" w:eastAsia="Times New Roman" w:hAnsi="Times New Roman"/>
          <w:b/>
          <w:bCs/>
          <w:sz w:val="22"/>
          <w:szCs w:val="22"/>
        </w:rPr>
        <w:t xml:space="preserve">In the downside scenario, where the exit multiple compresses to 7.5x, the IRR falls to 3.2% and MoM to 1.17x, barely returning capital after five years.</w:t>
      </w:r>
      <w:r>
        <w:rPr>
          <w:rFonts w:ascii="Times New Roman" w:cs="Times New Roman" w:eastAsia="Times New Roman" w:hAnsi="Times New Roman"/>
          <w:sz w:val="22"/>
          <w:szCs w:val="22"/>
        </w:rPr>
        <w:t xml:space="preserve"> The winning bid was just 1p above Fortress's offer (287p vs 286p), which tells you the auction extracted nearly all the available surplus from the buyer.</w:t>
      </w:r>
    </w:p>
    <w:p>
      <w:pPr>
        <w:pStyle w:val="Heading2"/>
        <w:spacing w:after="200" w:before="360"/>
      </w:pPr>
      <w:r>
        <w:rPr>
          <w:rFonts w:ascii="Times New Roman" w:cs="Times New Roman" w:eastAsia="Times New Roman" w:hAnsi="Times New Roman"/>
        </w:rPr>
        <w:t xml:space="preserve">5.2 Execution risk on margin improvement</w:t>
      </w:r>
    </w:p>
    <w:p>
      <w:pPr>
        <w:spacing w:after="200" w:line="360"/>
        <w:jc w:val="both"/>
      </w:pPr>
      <w:r>
        <w:rPr>
          <w:rFonts w:ascii="Times New Roman" w:cs="Times New Roman" w:eastAsia="Times New Roman" w:hAnsi="Times New Roman"/>
          <w:sz w:val="22"/>
          <w:szCs w:val="22"/>
        </w:rPr>
        <w:t xml:space="preserve">Since the value creation plan depends almost entirely on EBITDA margin expansion, any shortfall has an outsized impact on returns. UK grocery is a notoriously difficult sector in which to extract margin, with intense price competition from the discounters and limited consumer tolerance for price increases. The sensitivity analysis shows that IRR ranges from roughly -10% to 18% depending on the combination of exit margin and multiple achieved.</w:t>
      </w:r>
    </w:p>
    <w:p>
      <w:pPr>
        <w:pStyle w:val="Heading2"/>
        <w:spacing w:after="200" w:before="360"/>
      </w:pPr>
      <w:r>
        <w:rPr>
          <w:rFonts w:ascii="Times New Roman" w:cs="Times New Roman" w:eastAsia="Times New Roman" w:hAnsi="Times New Roman"/>
        </w:rPr>
        <w:t xml:space="preserve">5.3 Debt servicing and refinancing risk</w:t>
      </w:r>
    </w:p>
    <w:p>
      <w:pPr>
        <w:spacing w:after="200" w:line="360"/>
        <w:jc w:val="both"/>
      </w:pPr>
      <w:r>
        <w:rPr>
          <w:rFonts w:ascii="Times New Roman" w:cs="Times New Roman" w:eastAsia="Times New Roman" w:hAnsi="Times New Roman"/>
          <w:sz w:val="22"/>
          <w:szCs w:val="22"/>
        </w:rPr>
        <w:t xml:space="preserve">The capital structure is aggressive at 5.8x entry leverage. Total annual cash interest of approximately £331m consumes a material portion of operating cash flow, though EBITDA coverage is adequate at 3.4x in Year 1. If EBITDA were to decline or interest rates on variable rate facilities were to increase, debt service coverage could become strained. The 2022 to 2023 period of rising base rates was particularly challenging for the financing, and there were reports that Goldman Sachs took significant losses on the debt syndication.</w:t>
      </w:r>
    </w:p>
    <w:p>
      <w:pPr>
        <w:pStyle w:val="Heading2"/>
        <w:spacing w:after="200" w:before="360"/>
      </w:pPr>
      <w:r>
        <w:rPr>
          <w:rFonts w:ascii="Times New Roman" w:cs="Times New Roman" w:eastAsia="Times New Roman" w:hAnsi="Times New Roman"/>
        </w:rPr>
        <w:t xml:space="preserve">5.4 Structural industry headwinds</w:t>
      </w:r>
    </w:p>
    <w:p>
      <w:pPr>
        <w:spacing w:after="200" w:line="360"/>
        <w:jc w:val="both"/>
      </w:pPr>
      <w:r>
        <w:rPr>
          <w:rFonts w:ascii="Times New Roman" w:cs="Times New Roman" w:eastAsia="Times New Roman" w:hAnsi="Times New Roman"/>
          <w:sz w:val="22"/>
          <w:szCs w:val="22"/>
        </w:rPr>
        <w:t xml:space="preserve">Continued expansion by Aldi and Lidl, combined with online grocery growth, may structurally compress margins across the UK grocery sector. Morrisons' position as the smallest of the Big Four makes it more vulnerable to market share erosion than competitors with greater scale.</w:t>
      </w:r>
    </w:p>
    <w:p>
      <w:pPr>
        <w:pStyle w:val="Heading2"/>
        <w:spacing w:after="200" w:before="360"/>
      </w:pPr>
      <w:r>
        <w:rPr>
          <w:rFonts w:ascii="Times New Roman" w:cs="Times New Roman" w:eastAsia="Times New Roman" w:hAnsi="Times New Roman"/>
        </w:rPr>
        <w:t xml:space="preserve">5.5 McColl's acquisition risk</w:t>
      </w:r>
    </w:p>
    <w:p>
      <w:pPr>
        <w:spacing w:after="200" w:line="360"/>
        <w:jc w:val="both"/>
      </w:pPr>
      <w:r>
        <w:rPr>
          <w:rFonts w:ascii="Times New Roman" w:cs="Times New Roman" w:eastAsia="Times New Roman" w:hAnsi="Times New Roman"/>
          <w:sz w:val="22"/>
          <w:szCs w:val="22"/>
        </w:rPr>
        <w:t xml:space="preserve">CD&amp;R pursued the acquisition of McColl's convenience stores in 2022 as part of the wholesale growth strategy. McColl's subsequently entered administration, and while Morrisons acquired the business at a discount, integrating a distressed convenience chain into a supermarket operation carries operational risk and management distraction.</w:t>
      </w:r>
    </w:p>
    <w:p>
      <w:r>
        <w:br w:type="page"/>
      </w:r>
    </w:p>
    <w:p>
      <w:pPr>
        <w:pStyle w:val="Heading1"/>
        <w:spacing w:after="200" w:before="360"/>
      </w:pPr>
      <w:r>
        <w:rPr>
          <w:rFonts w:ascii="Times New Roman" w:cs="Times New Roman" w:eastAsia="Times New Roman" w:hAnsi="Times New Roman"/>
        </w:rPr>
        <w:t xml:space="preserve">6. Returns summary</w:t>
      </w:r>
    </w:p>
    <w:p>
      <w:pPr>
        <w:spacing w:after="100" w:before="100"/>
      </w:pPr>
      <w:r>
        <w:rPr>
          <w:rFonts w:ascii="Times New Roman" w:cs="Times New Roman" w:eastAsia="Times New Roman" w:hAnsi="Times New Roman"/>
          <w:b/>
          <w:bCs/>
          <w:color w:val="1F4E79"/>
          <w:sz w:val="22"/>
          <w:szCs w:val="22"/>
        </w:rPr>
        <w:t xml:space="preserve">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2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Downside</w:t>
            </w:r>
          </w:p>
        </w:tc>
        <w:tc>
          <w:tcPr>
            <w:tcW w:type="dxa" w:w="2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Base</w:t>
            </w:r>
          </w:p>
        </w:tc>
        <w:tc>
          <w:tcPr>
            <w:tcW w:type="dxa" w:w="2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Upside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Exit EV/EBITDA</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7.5x</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8.5x</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9.0x</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Exit EV (£m)</w:t>
            </w:r>
          </w:p>
        </w:tc>
        <w:tc>
          <w:tcPr>
            <w:tcW w:type="dxa" w:w="2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10,784</w:t>
            </w:r>
          </w:p>
        </w:tc>
        <w:tc>
          <w:tcPr>
            <w:tcW w:type="dxa" w:w="2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12,221</w:t>
            </w:r>
          </w:p>
        </w:tc>
        <w:tc>
          <w:tcPr>
            <w:tcW w:type="dxa" w:w="2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12,940</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Exit Equity (£m)</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4,725</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6,162</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6,881</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MoM</w:t>
            </w:r>
          </w:p>
        </w:tc>
        <w:tc>
          <w:tcPr>
            <w:tcW w:type="dxa" w:w="2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1.17x</w:t>
            </w:r>
          </w:p>
        </w:tc>
        <w:tc>
          <w:tcPr>
            <w:tcW w:type="dxa" w:w="2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1.53x</w:t>
            </w:r>
          </w:p>
        </w:tc>
        <w:tc>
          <w:tcPr>
            <w:tcW w:type="dxa" w:w="2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1.71x</w:t>
            </w:r>
          </w:p>
        </w:tc>
      </w:tr>
      <w:tr>
        <w:tc>
          <w:tcPr>
            <w:tcW w:type="dxa" w:w="3120"/>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Times New Roman" w:cs="Times New Roman" w:eastAsia="Times New Roman" w:hAnsi="Times New Roman"/>
                <w:b/>
                <w:bCs/>
                <w:sz w:val="20"/>
                <w:szCs w:val="20"/>
              </w:rPr>
              <w:t xml:space="preserve">IRR (5-Year Hold)</w:t>
            </w:r>
          </w:p>
        </w:tc>
        <w:tc>
          <w:tcPr>
            <w:tcW w:type="dxa" w:w="2080"/>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3.2%</w:t>
            </w:r>
          </w:p>
        </w:tc>
        <w:tc>
          <w:tcPr>
            <w:tcW w:type="dxa" w:w="2080"/>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8.9%</w:t>
            </w:r>
          </w:p>
        </w:tc>
        <w:tc>
          <w:tcPr>
            <w:tcW w:type="dxa" w:w="2080"/>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11.3%</w:t>
            </w:r>
          </w:p>
        </w:tc>
      </w:tr>
    </w:tbl>
    <w:p>
      <w:pPr>
        <w:spacing w:before="300"/>
      </w:pPr>
    </w:p>
    <w:p>
      <w:pPr>
        <w:pStyle w:val="Heading1"/>
        <w:spacing w:after="200" w:before="360"/>
      </w:pPr>
      <w:r>
        <w:rPr>
          <w:rFonts w:ascii="Times New Roman" w:cs="Times New Roman" w:eastAsia="Times New Roman" w:hAnsi="Times New Roman"/>
        </w:rPr>
        <w:t xml:space="preserve">7. Conclusion: would I do this deal?</w:t>
      </w:r>
    </w:p>
    <w:p>
      <w:pPr>
        <w:spacing w:after="200" w:line="360"/>
        <w:jc w:val="both"/>
      </w:pPr>
      <w:r>
        <w:rPr>
          <w:rFonts w:ascii="Times New Roman" w:cs="Times New Roman" w:eastAsia="Times New Roman" w:hAnsi="Times New Roman"/>
          <w:b/>
          <w:bCs/>
          <w:sz w:val="22"/>
          <w:szCs w:val="22"/>
        </w:rPr>
        <w:t xml:space="preserve">On balance, the Morrisons take-private was a defensible but not compelling investment at the price paid.</w:t>
      </w:r>
    </w:p>
    <w:p>
      <w:pPr>
        <w:spacing w:after="200" w:line="360"/>
        <w:jc w:val="both"/>
      </w:pPr>
      <w:r>
        <w:rPr>
          <w:rFonts w:ascii="Times New Roman" w:cs="Times New Roman" w:eastAsia="Times New Roman" w:hAnsi="Times New Roman"/>
          <w:sz w:val="22"/>
          <w:szCs w:val="22"/>
        </w:rPr>
        <w:t xml:space="preserve">The strategic logic was sound: a vertically integrated grocery retailer with a unique property portfolio, trading at depressed margins under public ownership, with a clear path to operational improvement. CD&amp;R's track record in retail and consumer businesses, including Albertsons, BJ's Wholesale, and Mavis Tire, gave credibility to the operational thesis.</w:t>
      </w:r>
    </w:p>
    <w:p>
      <w:pPr>
        <w:spacing w:after="200" w:line="360"/>
        <w:jc w:val="both"/>
      </w:pPr>
      <w:r>
        <w:rPr>
          <w:rFonts w:ascii="Times New Roman" w:cs="Times New Roman" w:eastAsia="Times New Roman" w:hAnsi="Times New Roman"/>
          <w:sz w:val="22"/>
          <w:szCs w:val="22"/>
        </w:rPr>
        <w:t xml:space="preserve">But the competitive auction extracted most of the value from the buyer. The base case IRR of 8.9% is well below the 15 to 20% threshold typically targeted by PE sponsors. Even the upside scenario at 11.3% is modest. The returns profile looks more like an infrastructure investment, stable cash flows, asset-backed, limited upside, than a traditional PE return. This is partly by design: CD&amp;R appears to have underwritten the deal on the basis that the property provided downside protection, with operational improvement as the upside driver.</w:t>
      </w:r>
    </w:p>
    <w:p>
      <w:pPr>
        <w:spacing w:after="200" w:line="360"/>
        <w:jc w:val="both"/>
      </w:pPr>
      <w:r>
        <w:rPr>
          <w:rFonts w:ascii="Times New Roman" w:cs="Times New Roman" w:eastAsia="Times New Roman" w:hAnsi="Times New Roman"/>
          <w:sz w:val="22"/>
          <w:szCs w:val="22"/>
        </w:rPr>
        <w:t xml:space="preserve">The lesson for any analyst reviewing this deal is that entry price matters enormously in a leveraged transaction. At 9.2x EBITDA with 5.8x leverage, there is very little room for error. The difference between a good deal and a mediocre one was probably 50 to 100 basis points on the entry multiple, which in a heated auction you cannot control.</w:t>
      </w:r>
    </w:p>
    <w:p>
      <w:pPr>
        <w:spacing w:after="200" w:line="360"/>
        <w:jc w:val="both"/>
      </w:pPr>
      <w:r>
        <w:rPr>
          <w:rFonts w:ascii="Times New Roman" w:cs="Times New Roman" w:eastAsia="Times New Roman" w:hAnsi="Times New Roman"/>
          <w:sz w:val="22"/>
          <w:szCs w:val="22"/>
        </w:rPr>
        <w:t xml:space="preserve">If I were on the investment committee, I would have recommended proceeding only with stronger conviction on margin upside beyond 7.2%, or with a more explicit property monetisation plan baked into the base case. Without those, the risk-reward was too tight.</w:t>
      </w:r>
    </w:p>
    <w:p>
      <w:pPr>
        <w:pBdr>
          <w:top w:val="single" w:color="1F4E79" w:sz="6" w:space="8"/>
        </w:pBdr>
        <w:spacing w:before="600"/>
      </w:pPr>
      <w:r>
        <w:rPr>
          <w:rFonts w:ascii="Times New Roman" w:cs="Times New Roman" w:eastAsia="Times New Roman" w:hAnsi="Times New Roman"/>
          <w:i/>
          <w:iCs/>
          <w:color w:val="666666"/>
          <w:sz w:val="20"/>
          <w:szCs w:val="20"/>
        </w:rPr>
        <w:t xml:space="preserve">This transaction note should be read alongside the accompanying LBO model (Morrisons_LBO_Model_2021.xlsx), which contains the full financial projections, debt schedule, returns analysis, and sensitivity tables referenced throughout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Times New Roman" w:cs="Times New Roman" w:eastAsia="Times New Roman" w:hAnsi="Times New Roman"/>
        <w:i/>
        <w:iCs/>
        <w:color w:val="999999"/>
        <w:sz w:val="16"/>
        <w:szCs w:val="16"/>
      </w:rPr>
      <w:t xml:space="preserve">CONFIDENTIAL</w:t>
    </w:r>
    <w:r>
      <w:rPr>
        <w:rFonts w:ascii="Times New Roman" w:cs="Times New Roman" w:eastAsia="Times New Roman" w:hAnsi="Times New Roman"/>
        <w:i/>
        <w:iCs/>
        <w:color w:val="999999"/>
        <w:sz w:val="16"/>
        <w:szCs w:val="16"/>
      </w:rPr>
      <w:t xml:space="preserve">	Transaction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5482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2026-04-06T11:57:49.474Z</dcterms:created>
  <dcterms:modified xsi:type="dcterms:W3CDTF">2026-04-06T11:57:49.475Z</dcterms:modified>
</cp:coreProperties>
</file>

<file path=docProps/custom.xml><?xml version="1.0" encoding="utf-8"?>
<Properties xmlns="http://schemas.openxmlformats.org/officeDocument/2006/custom-properties" xmlns:vt="http://schemas.openxmlformats.org/officeDocument/2006/docPropsVTypes"/>
</file>