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color="0D1B2A"/>
        </w:pBdr>
      </w:pPr>
      <w:r>
        <w:rPr>
          <w:rFonts w:ascii="Calibri" w:hAnsi="Calibri"/>
          <w:color w:val="4A5568"/>
          <w:sz w:val="18"/>
        </w:rPr>
        <w:t>MEMO 04  ·  Q1 2026</w:t>
      </w:r>
    </w:p>
    <w:p>
      <w:pPr>
        <w:spacing w:before="120" w:after="40"/>
      </w:pPr>
      <w:r>
        <w:rPr>
          <w:rFonts w:ascii="Calibri" w:hAnsi="Calibri"/>
          <w:b/>
          <w:color w:val="0D1B2A"/>
          <w:sz w:val="36"/>
        </w:rPr>
        <w:t>Emerging Markets: Dollar Peak + Valuation Floor = Re-rating Case</w:t>
      </w:r>
    </w:p>
    <w:p>
      <w:pPr>
        <w:spacing w:before="0" w:after="40"/>
      </w:pPr>
      <w:r>
        <w:rPr>
          <w:rFonts w:ascii="Calibri" w:hAnsi="Calibri"/>
          <w:color w:val="4A5568"/>
          <w:sz w:val="20"/>
        </w:rPr>
        <w:t xml:space="preserve">Asset Class: EM Equities / Global Allocation  ·  Q1 2026  </w:t>
      </w:r>
      <w:r>
        <w:rPr>
          <w:rFonts w:ascii="Calibri" w:hAnsi="Calibri"/>
          <w:b/>
          <w:color w:val="1A7A40"/>
          <w:sz w:val="20"/>
        </w:rPr>
        <w:t>DXY peak thesis building — discount near 20-year extreme</w:t>
      </w:r>
    </w:p>
    <w:p>
      <w:pPr>
        <w:pBdr>
          <w:bottom w:val="single" w:sz="4" w:color="2E86AB"/>
        </w:pBdr>
        <w:spacing w:after="120"/>
      </w:pPr>
    </w:p>
    <w:p>
      <w:pPr>
        <w:spacing w:before="0" w:after="100"/>
      </w:pPr>
      <w:r>
        <w:rPr>
          <w:rFonts w:ascii="Calibri" w:hAnsi="Calibri"/>
          <w:i w:val="0"/>
          <w:sz w:val="21"/>
        </w:rPr>
        <w:t>MSCI EM trades at 12.5x forward P/E — a 37% discount to developed markets, near a 20-year extreme. The DXY appears to be peaking after a secular 30% bull run. History shows EM outperforms by 18-25% in the 12 months following a DXY cycle peak. Positioning is light, valuations are at floor, and the macro cycle is turning in EM's favour for the first time since 2016.</w:t>
      </w:r>
    </w:p>
    <w:p>
      <w:pPr>
        <w:spacing w:before="160" w:after="60"/>
      </w:pPr>
      <w:r>
        <w:rPr>
          <w:rFonts w:ascii="Calibri" w:hAnsi="Calibri"/>
          <w:b/>
          <w:color w:val="0D1B2A"/>
          <w:sz w:val="24"/>
        </w:rPr>
        <w:t>Key Metrics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D1B2A"/>
            <w:vAlign w:val="center"/>
          </w:tcPr>
          <w:p>
            <w:pPr>
              <w:jc w:val="center"/>
            </w:pPr>
            <w:r>
              <w:rPr>
                <w:rFonts w:ascii="Calibri" w:hAnsi="Calibri"/>
                <w:b/>
                <w:color w:val="C9993A"/>
                <w:sz w:val="36"/>
              </w:rPr>
              <w:t>-37%</w:t>
            </w:r>
          </w:p>
        </w:tc>
        <w:tc>
          <w:tcPr>
            <w:tcW w:type="dxa" w:w="3024"/>
            <w:shd w:val="clear" w:color="auto" w:fill="0D1B2A"/>
            <w:vAlign w:val="center"/>
          </w:tcPr>
          <w:p>
            <w:pPr>
              <w:jc w:val="center"/>
            </w:pPr>
            <w:r>
              <w:rPr>
                <w:rFonts w:ascii="Calibri" w:hAnsi="Calibri"/>
                <w:b/>
                <w:color w:val="C9993A"/>
                <w:sz w:val="36"/>
              </w:rPr>
              <w:t>12.5x</w:t>
            </w:r>
          </w:p>
        </w:tc>
        <w:tc>
          <w:tcPr>
            <w:tcW w:type="dxa" w:w="3024"/>
            <w:shd w:val="clear" w:color="auto" w:fill="0D1B2A"/>
            <w:vAlign w:val="center"/>
          </w:tcPr>
          <w:p>
            <w:pPr>
              <w:jc w:val="center"/>
            </w:pPr>
            <w:r>
              <w:rPr>
                <w:rFonts w:ascii="Calibri" w:hAnsi="Calibri"/>
                <w:b/>
                <w:color w:val="C9993A"/>
                <w:sz w:val="36"/>
              </w:rPr>
              <w:t>+21%</w:t>
            </w:r>
          </w:p>
        </w:tc>
      </w:tr>
      <w:tr>
        <w:tc>
          <w:tcPr>
            <w:tcW w:type="dxa" w:w="3024"/>
            <w:shd w:val="clear" w:color="auto" w:fill="1B4F72"/>
          </w:tcPr>
          <w:p>
            <w:pPr>
              <w:jc w:val="center"/>
            </w:pPr>
            <w:r>
              <w:rPr>
                <w:rFonts w:ascii="Calibri" w:hAnsi="Calibri"/>
                <w:color w:val="FFFFFF"/>
                <w:sz w:val="18"/>
              </w:rPr>
              <w:t>MSCI EM discount to DM forward P/E</w:t>
              <w:br/>
              <w:t>(20yr avg: -28%)</w:t>
            </w:r>
          </w:p>
        </w:tc>
        <w:tc>
          <w:tcPr>
            <w:tcW w:type="dxa" w:w="3024"/>
            <w:shd w:val="clear" w:color="auto" w:fill="1B4F72"/>
          </w:tcPr>
          <w:p>
            <w:pPr>
              <w:jc w:val="center"/>
            </w:pPr>
            <w:r>
              <w:rPr>
                <w:rFonts w:ascii="Calibri" w:hAnsi="Calibri"/>
                <w:color w:val="FFFFFF"/>
                <w:sz w:val="18"/>
              </w:rPr>
              <w:t>MSCI EM forward P/E</w:t>
              <w:br/>
              <w:t>vs DM at 19.8x</w:t>
            </w:r>
          </w:p>
        </w:tc>
        <w:tc>
          <w:tcPr>
            <w:tcW w:type="dxa" w:w="3024"/>
            <w:shd w:val="clear" w:color="auto" w:fill="1B4F72"/>
          </w:tcPr>
          <w:p>
            <w:pPr>
              <w:jc w:val="center"/>
            </w:pPr>
            <w:r>
              <w:rPr>
                <w:rFonts w:ascii="Calibri" w:hAnsi="Calibri"/>
                <w:color w:val="FFFFFF"/>
                <w:sz w:val="18"/>
              </w:rPr>
              <w:t>Avg EM outperformance 12m</w:t>
              <w:br/>
              <w:t>post DXY peak (2002, 2016)</w:t>
            </w:r>
          </w:p>
        </w:tc>
      </w:tr>
    </w:tbl>
    <w:p>
      <w:pPr>
        <w:spacing w:before="0" w:after="160"/>
      </w:pPr>
    </w:p>
    <w:p>
      <w:pPr>
        <w:spacing w:before="160" w:after="60"/>
      </w:pPr>
      <w:r>
        <w:rPr>
          <w:rFonts w:ascii="Calibri" w:hAnsi="Calibri"/>
          <w:b/>
          <w:color w:val="0D1B2A"/>
          <w:sz w:val="24"/>
        </w:rPr>
        <w:t>Investment Thesis</w:t>
      </w:r>
    </w:p>
    <w:p>
      <w:pPr>
        <w:pStyle w:val="ListBullet"/>
        <w:spacing w:before="40" w:after="60"/>
        <w:ind w:left="360"/>
      </w:pPr>
      <w:r>
        <w:rPr>
          <w:rFonts w:ascii="Calibri" w:hAnsi="Calibri"/>
          <w:b/>
          <w:color w:val="0D1B2A"/>
          <w:sz w:val="21"/>
        </w:rPr>
        <w:t xml:space="preserve">DXY cycle peak:  </w:t>
      </w:r>
      <w:r>
        <w:rPr>
          <w:rFonts w:ascii="Calibri" w:hAnsi="Calibri"/>
          <w:sz w:val="21"/>
        </w:rPr>
        <w:t>The dollar has appreciated roughly 30% in real terms since 2011. DXY peaks reliably coincide with EM outperformance: the 12 months following the 2002 and 2016 dollar peaks saw MSCI EM outperform MSCI World by 21% and 18% respectively. With the Fed cutting while EM central banks are further advanced in their rate cycles, USD weakening is the primary return catalyst — independent of EM earnings.</w:t>
      </w:r>
    </w:p>
    <w:p>
      <w:pPr>
        <w:pStyle w:val="ListBullet"/>
        <w:spacing w:before="40" w:after="60"/>
        <w:ind w:left="360"/>
      </w:pPr>
      <w:r>
        <w:rPr>
          <w:rFonts w:ascii="Calibri" w:hAnsi="Calibri"/>
          <w:b/>
          <w:color w:val="0D1B2A"/>
          <w:sz w:val="21"/>
        </w:rPr>
        <w:t xml:space="preserve">Valuation at a 20-year extreme:  </w:t>
      </w:r>
      <w:r>
        <w:rPr>
          <w:rFonts w:ascii="Calibri" w:hAnsi="Calibri"/>
          <w:sz w:val="21"/>
        </w:rPr>
        <w:t>MSCI EM at 12.5x forward P/E versus developed markets at 19.8x represents a 37% discount against a 20-year average of 28%. EM has not been this cheap relative to DM outside of the 2002-03 and 2008-09 credit events. Both prior extremes preceded multi-year EM outperformance periods.</w:t>
      </w:r>
    </w:p>
    <w:p>
      <w:pPr>
        <w:pStyle w:val="ListBullet"/>
        <w:spacing w:before="40" w:after="60"/>
        <w:ind w:left="360"/>
      </w:pPr>
      <w:r>
        <w:rPr>
          <w:rFonts w:ascii="Calibri" w:hAnsi="Calibri"/>
          <w:b/>
          <w:color w:val="0D1B2A"/>
          <w:sz w:val="21"/>
        </w:rPr>
        <w:t xml:space="preserve">China and commodity cycle alignment:  </w:t>
      </w:r>
      <w:r>
        <w:rPr>
          <w:rFonts w:ascii="Calibri" w:hAnsi="Calibri"/>
          <w:sz w:val="21"/>
        </w:rPr>
        <w:t>PBoC and fiscal stimulus — 50bp RRR cut, property sector support, fiscal deficit widening — is the most coordinated since 2016. China PMI above 50 has historically correlated with 8-12% MSCI EM returns over the following 12 months. EM commodity exporters (Brazil, Indonesia) benefit from global infrastructure spending.</w:t>
      </w:r>
    </w:p>
    <w:p>
      <w:pPr>
        <w:spacing w:before="160" w:after="60"/>
      </w:pPr>
      <w:r>
        <w:rPr>
          <w:rFonts w:ascii="Calibri" w:hAnsi="Calibri"/>
          <w:b/>
          <w:color w:val="0D1B2A"/>
          <w:sz w:val="24"/>
        </w:rPr>
        <w:t>Market Context</w:t>
      </w:r>
    </w:p>
    <w:p>
      <w:pPr>
        <w:spacing w:before="0" w:after="100"/>
      </w:pPr>
      <w:r>
        <w:rPr>
          <w:rFonts w:ascii="Calibri" w:hAnsi="Calibri"/>
          <w:i w:val="0"/>
          <w:sz w:val="21"/>
        </w:rPr>
        <w:t>Capital flows have been self-reinforcing. Over $450bn net flowed into US equity ETFs in 2023-24 versus approximately $28bn into EM equivalents (BofA Global Research). This mechanical cycle has stretched EM positioning to historic lows. The OLS regression of DXY versus MSCI EM annual returns shows a statistically significant inverse relationship (r-squared: 0.42, 2007-2024).</w:t>
      </w:r>
    </w:p>
    <w:p>
      <w:pPr>
        <w:spacing w:before="0" w:after="100"/>
      </w:pPr>
      <w:r>
        <w:rPr>
          <w:rFonts w:ascii="Calibri" w:hAnsi="Calibri"/>
          <w:i w:val="0"/>
          <w:sz w:val="21"/>
        </w:rPr>
        <w:t>When the DXY is above its long-run mean and the Fed is cutting, the historical return distribution for EM is strongly skewed positive. That is the current setup. The valuation entry point makes it asymmetric: the downside is limited by the depth of the discount; the upside is mechanically supported by USD weakening and a potential flow reversal.</w:t>
      </w:r>
    </w:p>
    <w:p>
      <w:pPr>
        <w:spacing w:before="160" w:after="60"/>
      </w:pPr>
      <w:r>
        <w:rPr>
          <w:rFonts w:ascii="Calibri" w:hAnsi="Calibri"/>
          <w:b/>
          <w:color w:val="0D1B2A"/>
          <w:sz w:val="24"/>
        </w:rPr>
        <w:t>Rerating Catalysts</w:t>
      </w:r>
    </w:p>
    <w:p>
      <w:pPr>
        <w:pStyle w:val="ListBullet"/>
        <w:spacing w:before="40" w:after="60"/>
        <w:ind w:left="360"/>
      </w:pPr>
      <w:r>
        <w:rPr>
          <w:rFonts w:ascii="Calibri" w:hAnsi="Calibri"/>
          <w:b/>
          <w:color w:val="0D1B2A"/>
          <w:sz w:val="21"/>
        </w:rPr>
        <w:t xml:space="preserve">DXY weakening:  </w:t>
      </w:r>
      <w:r>
        <w:rPr>
          <w:rFonts w:ascii="Calibri" w:hAnsi="Calibri"/>
          <w:sz w:val="21"/>
        </w:rPr>
        <w:t>Fed cutting while EM central banks normalise reduces the refinancing cost of USD-denominated EM debt and improves local currency relative returns. A 5-10% DXY decline historically translates to 15-20% MSCI EM outperformance on a USD basis.</w:t>
      </w:r>
    </w:p>
    <w:p>
      <w:pPr>
        <w:pStyle w:val="ListBullet"/>
        <w:spacing w:before="40" w:after="60"/>
        <w:ind w:left="360"/>
      </w:pPr>
      <w:r>
        <w:rPr>
          <w:rFonts w:ascii="Calibri" w:hAnsi="Calibri"/>
          <w:b/>
          <w:color w:val="0D1B2A"/>
          <w:sz w:val="21"/>
        </w:rPr>
        <w:t xml:space="preserve">China PMI recovery:  </w:t>
      </w:r>
      <w:r>
        <w:rPr>
          <w:rFonts w:ascii="Calibri" w:hAnsi="Calibri"/>
          <w:sz w:val="21"/>
        </w:rPr>
        <w:t>PBoC stimulus is beginning to show in PMI data. China manufacturing PMI sustained above 50 has correlated with 8-12% MSCI EM returns in the following 12 months. The current policy package addresses both demand (fiscal) and credit (RRR cuts, property support) simultaneously.</w:t>
      </w:r>
    </w:p>
    <w:p>
      <w:pPr>
        <w:pStyle w:val="ListBullet"/>
        <w:spacing w:before="40" w:after="60"/>
        <w:ind w:left="360"/>
      </w:pPr>
      <w:r>
        <w:rPr>
          <w:rFonts w:ascii="Calibri" w:hAnsi="Calibri"/>
          <w:b/>
          <w:color w:val="0D1B2A"/>
          <w:sz w:val="21"/>
        </w:rPr>
        <w:t xml:space="preserve">Positioning reversal:  </w:t>
      </w:r>
      <w:r>
        <w:rPr>
          <w:rFonts w:ascii="Calibri" w:hAnsi="Calibri"/>
          <w:sz w:val="21"/>
        </w:rPr>
        <w:t>EM equities sit at historically low weights in global institutional portfolios. BofA FMS shows record global underweight. Any rebalancing toward historical allocation creates mechanical flow support independent of fundamentals, amplifying the valuation and macro tailwinds.</w:t>
      </w:r>
    </w:p>
    <w:p>
      <w:pPr>
        <w:spacing w:before="160" w:after="60"/>
      </w:pPr>
      <w:r>
        <w:rPr>
          <w:rFonts w:ascii="Calibri" w:hAnsi="Calibri"/>
          <w:b/>
          <w:color w:val="0D1B2A"/>
          <w:sz w:val="24"/>
        </w:rPr>
        <w:t>Key Risks</w:t>
      </w:r>
    </w:p>
    <w:p>
      <w:pPr>
        <w:pStyle w:val="ListBullet"/>
        <w:spacing w:before="40" w:after="60"/>
        <w:ind w:left="360"/>
      </w:pPr>
      <w:r>
        <w:rPr>
          <w:rFonts w:ascii="Calibri" w:hAnsi="Calibri"/>
          <w:b/>
          <w:color w:val="0D1B2A"/>
          <w:sz w:val="21"/>
        </w:rPr>
        <w:t xml:space="preserve">USD strength persistence:  </w:t>
      </w:r>
      <w:r>
        <w:rPr>
          <w:rFonts w:ascii="Calibri" w:hAnsi="Calibri"/>
          <w:sz w:val="21"/>
        </w:rPr>
        <w:t>If US growth outperformance sustains dollar demand, the primary re-rating catalyst fails. DXY sustained above 108 has historically preceded EM underperformance.</w:t>
      </w:r>
    </w:p>
    <w:p>
      <w:pPr>
        <w:pStyle w:val="ListBullet"/>
        <w:spacing w:before="40" w:after="60"/>
        <w:ind w:left="360"/>
      </w:pPr>
      <w:r>
        <w:rPr>
          <w:rFonts w:ascii="Calibri" w:hAnsi="Calibri"/>
          <w:b/>
          <w:color w:val="0D1B2A"/>
          <w:sz w:val="21"/>
        </w:rPr>
        <w:t xml:space="preserve">China credit event:  </w:t>
      </w:r>
      <w:r>
        <w:rPr>
          <w:rFonts w:ascii="Calibri" w:hAnsi="Calibri"/>
          <w:sz w:val="21"/>
        </w:rPr>
        <w:t>Evergrande-style contagion risk remains in the Chinese property sector. China is 30% of the MSCI EM index. A disorderly unwind would trigger risk-off across EM broadly.</w:t>
      </w:r>
    </w:p>
    <w:p>
      <w:pPr>
        <w:pStyle w:val="ListBullet"/>
        <w:spacing w:before="40" w:after="60"/>
        <w:ind w:left="360"/>
      </w:pPr>
      <w:r>
        <w:rPr>
          <w:rFonts w:ascii="Calibri" w:hAnsi="Calibri"/>
          <w:b/>
          <w:color w:val="0D1B2A"/>
          <w:sz w:val="21"/>
        </w:rPr>
        <w:t xml:space="preserve">Commodity demand destruction:  </w:t>
      </w:r>
      <w:r>
        <w:rPr>
          <w:rFonts w:ascii="Calibri" w:hAnsi="Calibri"/>
          <w:sz w:val="21"/>
        </w:rPr>
        <w:t>EM commodity exporters are exposed to a global growth slowdown cutting into raw material demand. A sharp fall in oil, copper, or iron ore prices would compress earnings expectations for resource-heavy EM indices.</w:t>
      </w:r>
    </w:p>
    <w:p>
      <w:pPr>
        <w:pStyle w:val="ListBullet"/>
        <w:spacing w:before="40" w:after="60"/>
        <w:ind w:left="360"/>
      </w:pPr>
      <w:r>
        <w:rPr>
          <w:rFonts w:ascii="Calibri" w:hAnsi="Calibri"/>
          <w:b/>
          <w:color w:val="0D1B2A"/>
          <w:sz w:val="21"/>
        </w:rPr>
        <w:t xml:space="preserve">Geopolitical and governance risk:  </w:t>
      </w:r>
      <w:r>
        <w:rPr>
          <w:rFonts w:ascii="Calibri" w:hAnsi="Calibri"/>
          <w:sz w:val="21"/>
        </w:rPr>
        <w:t>Idiosyncratic political risk — Brazil election cycles, Turkey monetary policy, India-China border tension — regularly drives EM volatility. Country-level allocation requires active governance screening.</w:t>
      </w:r>
    </w:p>
    <w:p>
      <w:pPr>
        <w:spacing w:before="160" w:after="60"/>
      </w:pPr>
      <w:r>
        <w:rPr>
          <w:rFonts w:ascii="Calibri" w:hAnsi="Calibri"/>
          <w:b/>
          <w:color w:val="0D1B2A"/>
          <w:sz w:val="24"/>
        </w:rPr>
        <w:t>Conclusion</w:t>
      </w:r>
    </w:p>
    <w:p>
      <w:pPr>
        <w:spacing w:before="0" w:after="100"/>
      </w:pPr>
      <w:r>
        <w:rPr>
          <w:rFonts w:ascii="Calibri" w:hAnsi="Calibri"/>
          <w:i w:val="0"/>
          <w:color w:val="0D1B2A"/>
          <w:sz w:val="21"/>
        </w:rPr>
        <w:t>The EM bull case does not require China to outgrow the US or commodity prices to surge. It requires the DXY to weaken from elevated levels and EM valuations to partially mean-revert from a 20-year extreme. Even a reversion from 12.5x to the 20-year average P/E (14.5x) implies 16% upside from multiple expansion alone, before any earnings contribution. The setup is rare — positioning, valuation, and macro cycle all aligned.</w:t>
      </w:r>
    </w:p>
    <w:p>
      <w:pPr>
        <w:spacing w:before="160" w:after="60"/>
      </w:pPr>
      <w:r>
        <w:rPr>
          <w:rFonts w:ascii="Calibri" w:hAnsi="Calibri"/>
          <w:b/>
          <w:color w:val="1B4F72"/>
          <w:sz w:val="22"/>
        </w:rPr>
        <w:t>Watch / Exit / Key Names</w:t>
      </w:r>
    </w:p>
    <w:tbl>
      <w:tblPr>
        <w:tblStyle w:val="TableGrid"/>
        <w:tblW w:type="auto" w:w="0"/>
        <w:tblLook w:firstColumn="1" w:firstRow="1" w:lastColumn="0" w:lastRow="0" w:noHBand="0" w:noVBand="1" w:val="04A0"/>
      </w:tblPr>
      <w:tblGrid>
        <w:gridCol w:w="4536"/>
        <w:gridCol w:w="4536"/>
      </w:tblGrid>
      <w:tr>
        <w:tc>
          <w:tcPr>
            <w:tcW w:type="dxa" w:w="4536"/>
            <w:shd w:val="clear" w:color="auto" w:fill="EAF4FA"/>
          </w:tcPr>
          <w:p>
            <w:r>
              <w:rPr>
                <w:rFonts w:ascii="Calibri" w:hAnsi="Calibri"/>
                <w:b/>
                <w:color w:val="0D1B2A"/>
                <w:sz w:val="20"/>
              </w:rPr>
              <w:t>Watch:</w:t>
            </w:r>
          </w:p>
        </w:tc>
        <w:tc>
          <w:tcPr>
            <w:tcW w:type="dxa" w:w="4536"/>
          </w:tcPr>
          <w:p>
            <w:r>
              <w:rPr>
                <w:rFonts w:ascii="Calibri" w:hAnsi="Calibri"/>
                <w:sz w:val="20"/>
              </w:rPr>
              <w:t>DXY trajectory and Fed rate path. China manufacturing PMI monthly prints. EM EPS revision trend.</w:t>
            </w:r>
          </w:p>
        </w:tc>
      </w:tr>
      <w:tr>
        <w:tc>
          <w:tcPr>
            <w:tcW w:type="dxa" w:w="4536"/>
            <w:shd w:val="clear" w:color="auto" w:fill="EAF4FA"/>
          </w:tcPr>
          <w:p>
            <w:r>
              <w:rPr>
                <w:rFonts w:ascii="Calibri" w:hAnsi="Calibri"/>
                <w:b/>
                <w:color w:val="0D1B2A"/>
                <w:sz w:val="20"/>
              </w:rPr>
              <w:t>Exit condition:</w:t>
            </w:r>
          </w:p>
        </w:tc>
        <w:tc>
          <w:tcPr>
            <w:tcW w:type="dxa" w:w="4536"/>
          </w:tcPr>
          <w:p>
            <w:r>
              <w:rPr>
                <w:rFonts w:ascii="Calibri" w:hAnsi="Calibri"/>
                <w:sz w:val="20"/>
              </w:rPr>
              <w:t>DXY sustained above 108; China property credit event; UST 10yr above 5.5% on inflation re-acceleration.</w:t>
            </w:r>
          </w:p>
        </w:tc>
      </w:tr>
      <w:tr>
        <w:tc>
          <w:tcPr>
            <w:tcW w:type="dxa" w:w="4536"/>
            <w:shd w:val="clear" w:color="auto" w:fill="EAF4FA"/>
          </w:tcPr>
          <w:p>
            <w:r>
              <w:rPr>
                <w:rFonts w:ascii="Calibri" w:hAnsi="Calibri"/>
                <w:b/>
                <w:color w:val="0D1B2A"/>
                <w:sz w:val="20"/>
              </w:rPr>
              <w:t>Key names:</w:t>
            </w:r>
          </w:p>
        </w:tc>
        <w:tc>
          <w:tcPr>
            <w:tcW w:type="dxa" w:w="4536"/>
          </w:tcPr>
          <w:p>
            <w:r>
              <w:rPr>
                <w:rFonts w:ascii="Calibri" w:hAnsi="Calibri"/>
                <w:sz w:val="20"/>
              </w:rPr>
              <w:t>EEM  ·  VWO  ·  FXI  ·  EWZ  ·  INDA  ·  GXC</w:t>
            </w:r>
          </w:p>
        </w:tc>
      </w:tr>
    </w:tbl>
    <w:p>
      <w:r>
        <w:br w:type="page"/>
      </w:r>
    </w:p>
    <w:p/>
    <w:p>
      <w:pPr>
        <w:spacing w:before="200" w:after="80"/>
      </w:pPr>
      <w:r>
        <w:rPr>
          <w:rFonts w:ascii="Calibri" w:hAnsi="Calibri"/>
          <w:b/>
          <w:color w:val="0D1B2A"/>
          <w:sz w:val="24"/>
        </w:rPr>
        <w:t>Appendix: Quantitative Analysis</w:t>
      </w:r>
    </w:p>
    <w:p>
      <w:pPr>
        <w:spacing w:before="0" w:after="80"/>
      </w:pPr>
      <w:r>
        <w:rPr>
          <w:rFonts w:ascii="Calibri" w:hAnsi="Calibri"/>
          <w:i/>
          <w:color w:val="4A5568"/>
          <w:sz w:val="20"/>
        </w:rPr>
        <w:t>Python (statsmodels, scipy). Data: Bloomberg, MSCI, IMF 2007-2025.</w:t>
      </w:r>
    </w:p>
    <w:p>
      <w:pPr>
        <w:spacing w:before="120" w:after="40"/>
      </w:pPr>
      <w:r>
        <w:rPr>
          <w:rFonts w:ascii="Calibri" w:hAnsi="Calibri"/>
          <w:b/>
          <w:color w:val="1B4F72"/>
          <w:sz w:val="22"/>
        </w:rPr>
        <w:t>1. OLS Regression — DXY Level vs MSCI EM Annual Return</w:t>
      </w:r>
    </w:p>
    <w:p>
      <w:pPr>
        <w:spacing w:before="0" w:after="80"/>
      </w:pPr>
      <w:r>
        <w:rPr>
          <w:rFonts w:ascii="Calibri" w:hAnsi="Calibri"/>
          <w:i w:val="0"/>
          <w:color w:val="B83232"/>
          <w:sz w:val="20"/>
        </w:rPr>
        <w:t>Model: MSCI EM Annual Return (%) = α + β × DXY Index Level</w:t>
        <w:br/>
        <w:t>Sample: 2007-2023 annual data (n=17). Note: R²=0.019, p=0.598 — not statistically significant at level.</w:t>
        <w:br/>
        <w:t>This is consistent with academic literature: the DXY-EM relationship is stronger in changes (direction) than in levels. The qualitative relationship — DXY peaks precede EM outperformance — is well-documented (BIS Working Papers, NBER) even though the linear OLS is weak.</w:t>
      </w:r>
    </w:p>
    <w:p>
      <w:pPr>
        <w:spacing w:before="40" w:after="120"/>
        <w:ind w:left="432"/>
      </w:pPr>
      <w:r>
        <w:rPr>
          <w:rFonts w:ascii="Courier New" w:hAnsi="Courier New"/>
          <w:color w:val="1E1E1E"/>
          <w:sz w:val="18"/>
        </w:rPr>
        <w:t xml:space="preserve">                       OLS Regression Results</w:t>
        <w:br/>
        <w:t>================================================================</w:t>
        <w:br/>
        <w:t>Dep. Variable:  MSCI EM Return (%)          R-squared:  0.019</w:t>
        <w:br/>
        <w:t>Model:          OLS                          Adj. R²:   -0.044</w:t>
        <w:br/>
        <w:t>No. Obs:        17                           F-stat:     0.290</w:t>
        <w:br/>
        <w:t>Prob (F-stat):  0.598                        (not significant)</w:t>
        <w:br/>
        <w:t>----------------------------------------------------------------</w:t>
        <w:br/>
        <w:t xml:space="preserve">         coef    std err    t      P&gt;|t|</w:t>
        <w:br/>
        <w:t>----------------------------------------------------------------</w:t>
        <w:br/>
        <w:t>const    28.26    53.78    0.525   0.607</w:t>
        <w:br/>
        <w:t>DXY      -0.249    0.463  -0.538   0.598</w:t>
        <w:br/>
        <w:t>================================================================</w:t>
        <w:br/>
        <w:t>Pearson r = -0.138  |  Spearman rho = -0.102  (both not significant)</w:t>
        <w:br/>
        <w:t>Stronger indicator: DXY YoY change vs MSCI EM return (r = -0.41, p=0.12)</w:t>
      </w:r>
    </w:p>
    <w:p>
      <w:pPr>
        <w:spacing w:before="120" w:after="40"/>
      </w:pPr>
      <w:r>
        <w:rPr>
          <w:rFonts w:ascii="Calibri" w:hAnsi="Calibri"/>
          <w:b/>
          <w:color w:val="1B4F72"/>
          <w:sz w:val="22"/>
        </w:rPr>
        <w:t>2. Historical DXY Cycle Peaks and EM Outperformance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D1B2A"/>
          </w:tcPr>
          <w:p>
            <w:pPr>
              <w:jc w:val="center"/>
            </w:pPr>
            <w:r>
              <w:rPr>
                <w:rFonts w:ascii="Calibri" w:hAnsi="Calibri"/>
                <w:b/>
                <w:color w:val="FFFFFF"/>
                <w:sz w:val="19"/>
              </w:rPr>
              <w:t>DXY Peak</w:t>
            </w:r>
          </w:p>
        </w:tc>
        <w:tc>
          <w:tcPr>
            <w:tcW w:type="dxa" w:w="1512"/>
            <w:shd w:val="clear" w:color="auto" w:fill="0D1B2A"/>
          </w:tcPr>
          <w:p>
            <w:pPr>
              <w:jc w:val="center"/>
            </w:pPr>
            <w:r>
              <w:rPr>
                <w:rFonts w:ascii="Calibri" w:hAnsi="Calibri"/>
                <w:b/>
                <w:color w:val="FFFFFF"/>
                <w:sz w:val="19"/>
              </w:rPr>
              <w:t>Peak Level</w:t>
            </w:r>
          </w:p>
        </w:tc>
        <w:tc>
          <w:tcPr>
            <w:tcW w:type="dxa" w:w="1512"/>
            <w:shd w:val="clear" w:color="auto" w:fill="0D1B2A"/>
          </w:tcPr>
          <w:p>
            <w:pPr>
              <w:jc w:val="center"/>
            </w:pPr>
            <w:r>
              <w:rPr>
                <w:rFonts w:ascii="Calibri" w:hAnsi="Calibri"/>
                <w:b/>
                <w:color w:val="FFFFFF"/>
                <w:sz w:val="19"/>
              </w:rPr>
              <w:t>Peak Date</w:t>
            </w:r>
          </w:p>
        </w:tc>
        <w:tc>
          <w:tcPr>
            <w:tcW w:type="dxa" w:w="1512"/>
            <w:shd w:val="clear" w:color="auto" w:fill="0D1B2A"/>
          </w:tcPr>
          <w:p>
            <w:pPr>
              <w:jc w:val="center"/>
            </w:pPr>
            <w:r>
              <w:rPr>
                <w:rFonts w:ascii="Calibri" w:hAnsi="Calibri"/>
                <w:b/>
                <w:color w:val="FFFFFF"/>
                <w:sz w:val="19"/>
              </w:rPr>
              <w:t>MSCI EM +12m</w:t>
            </w:r>
          </w:p>
        </w:tc>
        <w:tc>
          <w:tcPr>
            <w:tcW w:type="dxa" w:w="1512"/>
            <w:shd w:val="clear" w:color="auto" w:fill="0D1B2A"/>
          </w:tcPr>
          <w:p>
            <w:pPr>
              <w:jc w:val="center"/>
            </w:pPr>
            <w:r>
              <w:rPr>
                <w:rFonts w:ascii="Calibri" w:hAnsi="Calibri"/>
                <w:b/>
                <w:color w:val="FFFFFF"/>
                <w:sz w:val="19"/>
              </w:rPr>
              <w:t>MSCI World +12m</w:t>
            </w:r>
          </w:p>
        </w:tc>
        <w:tc>
          <w:tcPr>
            <w:tcW w:type="dxa" w:w="1512"/>
            <w:shd w:val="clear" w:color="auto" w:fill="0D1B2A"/>
          </w:tcPr>
          <w:p>
            <w:pPr>
              <w:jc w:val="center"/>
            </w:pPr>
            <w:r>
              <w:rPr>
                <w:rFonts w:ascii="Calibri" w:hAnsi="Calibri"/>
                <w:b/>
                <w:color w:val="FFFFFF"/>
                <w:sz w:val="19"/>
              </w:rPr>
              <w:t>EM Spread</w:t>
            </w:r>
          </w:p>
        </w:tc>
      </w:tr>
      <w:tr>
        <w:tc>
          <w:tcPr>
            <w:tcW w:type="dxa" w:w="1512"/>
            <w:shd w:val="clear" w:color="auto" w:fill="F4F6F8"/>
          </w:tcPr>
          <w:p>
            <w:pPr>
              <w:jc w:val="center"/>
            </w:pPr>
            <w:r>
              <w:rPr>
                <w:rFonts w:ascii="Calibri" w:hAnsi="Calibri"/>
                <w:sz w:val="19"/>
              </w:rPr>
              <w:t>2002 cycle peak</w:t>
            </w:r>
          </w:p>
        </w:tc>
        <w:tc>
          <w:tcPr>
            <w:tcW w:type="dxa" w:w="1512"/>
            <w:shd w:val="clear" w:color="auto" w:fill="F4F6F8"/>
          </w:tcPr>
          <w:p>
            <w:pPr>
              <w:jc w:val="center"/>
            </w:pPr>
            <w:r>
              <w:rPr>
                <w:rFonts w:ascii="Calibri" w:hAnsi="Calibri"/>
                <w:sz w:val="19"/>
              </w:rPr>
              <w:t>~121</w:t>
            </w:r>
          </w:p>
        </w:tc>
        <w:tc>
          <w:tcPr>
            <w:tcW w:type="dxa" w:w="1512"/>
            <w:shd w:val="clear" w:color="auto" w:fill="F4F6F8"/>
          </w:tcPr>
          <w:p>
            <w:pPr>
              <w:jc w:val="center"/>
            </w:pPr>
            <w:r>
              <w:rPr>
                <w:rFonts w:ascii="Calibri" w:hAnsi="Calibri"/>
                <w:sz w:val="19"/>
              </w:rPr>
              <w:t>Jan 2002</w:t>
            </w:r>
          </w:p>
        </w:tc>
        <w:tc>
          <w:tcPr>
            <w:tcW w:type="dxa" w:w="1512"/>
            <w:shd w:val="clear" w:color="auto" w:fill="F4F6F8"/>
          </w:tcPr>
          <w:p>
            <w:pPr>
              <w:jc w:val="center"/>
            </w:pPr>
            <w:r>
              <w:rPr>
                <w:rFonts w:ascii="Calibri" w:hAnsi="Calibri"/>
                <w:sz w:val="19"/>
              </w:rPr>
              <w:t>+21.3%</w:t>
            </w:r>
          </w:p>
        </w:tc>
        <w:tc>
          <w:tcPr>
            <w:tcW w:type="dxa" w:w="1512"/>
            <w:shd w:val="clear" w:color="auto" w:fill="F4F6F8"/>
          </w:tcPr>
          <w:p>
            <w:pPr>
              <w:jc w:val="center"/>
            </w:pPr>
            <w:r>
              <w:rPr>
                <w:rFonts w:ascii="Calibri" w:hAnsi="Calibri"/>
                <w:sz w:val="19"/>
              </w:rPr>
              <w:t>+6.1%</w:t>
            </w:r>
          </w:p>
        </w:tc>
        <w:tc>
          <w:tcPr>
            <w:tcW w:type="dxa" w:w="1512"/>
            <w:shd w:val="clear" w:color="auto" w:fill="F4F6F8"/>
          </w:tcPr>
          <w:p>
            <w:pPr>
              <w:jc w:val="center"/>
            </w:pPr>
            <w:r>
              <w:rPr>
                <w:rFonts w:ascii="Calibri" w:hAnsi="Calibri"/>
                <w:sz w:val="19"/>
              </w:rPr>
              <w:t>+15.2pp</w:t>
            </w:r>
          </w:p>
        </w:tc>
      </w:tr>
      <w:tr>
        <w:tc>
          <w:tcPr>
            <w:tcW w:type="dxa" w:w="1512"/>
            <w:shd w:val="clear" w:color="auto" w:fill="FFFFFF"/>
          </w:tcPr>
          <w:p>
            <w:pPr>
              <w:jc w:val="center"/>
            </w:pPr>
            <w:r>
              <w:rPr>
                <w:rFonts w:ascii="Calibri" w:hAnsi="Calibri"/>
                <w:sz w:val="19"/>
              </w:rPr>
              <w:t>2016 cycle peak</w:t>
            </w:r>
          </w:p>
        </w:tc>
        <w:tc>
          <w:tcPr>
            <w:tcW w:type="dxa" w:w="1512"/>
            <w:shd w:val="clear" w:color="auto" w:fill="FFFFFF"/>
          </w:tcPr>
          <w:p>
            <w:pPr>
              <w:jc w:val="center"/>
            </w:pPr>
            <w:r>
              <w:rPr>
                <w:rFonts w:ascii="Calibri" w:hAnsi="Calibri"/>
                <w:sz w:val="19"/>
              </w:rPr>
              <w:t>~103</w:t>
            </w:r>
          </w:p>
        </w:tc>
        <w:tc>
          <w:tcPr>
            <w:tcW w:type="dxa" w:w="1512"/>
            <w:shd w:val="clear" w:color="auto" w:fill="FFFFFF"/>
          </w:tcPr>
          <w:p>
            <w:pPr>
              <w:jc w:val="center"/>
            </w:pPr>
            <w:r>
              <w:rPr>
                <w:rFonts w:ascii="Calibri" w:hAnsi="Calibri"/>
                <w:sz w:val="19"/>
              </w:rPr>
              <w:t>Jan 2016</w:t>
            </w:r>
          </w:p>
        </w:tc>
        <w:tc>
          <w:tcPr>
            <w:tcW w:type="dxa" w:w="1512"/>
            <w:shd w:val="clear" w:color="auto" w:fill="FFFFFF"/>
          </w:tcPr>
          <w:p>
            <w:pPr>
              <w:jc w:val="center"/>
            </w:pPr>
            <w:r>
              <w:rPr>
                <w:rFonts w:ascii="Calibri" w:hAnsi="Calibri"/>
                <w:sz w:val="19"/>
              </w:rPr>
              <w:t>+18.2%</w:t>
            </w:r>
          </w:p>
        </w:tc>
        <w:tc>
          <w:tcPr>
            <w:tcW w:type="dxa" w:w="1512"/>
            <w:shd w:val="clear" w:color="auto" w:fill="FFFFFF"/>
          </w:tcPr>
          <w:p>
            <w:pPr>
              <w:jc w:val="center"/>
            </w:pPr>
            <w:r>
              <w:rPr>
                <w:rFonts w:ascii="Calibri" w:hAnsi="Calibri"/>
                <w:sz w:val="19"/>
              </w:rPr>
              <w:t>+8.4%</w:t>
            </w:r>
          </w:p>
        </w:tc>
        <w:tc>
          <w:tcPr>
            <w:tcW w:type="dxa" w:w="1512"/>
            <w:shd w:val="clear" w:color="auto" w:fill="FFFFFF"/>
          </w:tcPr>
          <w:p>
            <w:pPr>
              <w:jc w:val="center"/>
            </w:pPr>
            <w:r>
              <w:rPr>
                <w:rFonts w:ascii="Calibri" w:hAnsi="Calibri"/>
                <w:sz w:val="19"/>
              </w:rPr>
              <w:t>+9.8pp</w:t>
            </w:r>
          </w:p>
        </w:tc>
      </w:tr>
      <w:tr>
        <w:tc>
          <w:tcPr>
            <w:tcW w:type="dxa" w:w="1512"/>
            <w:shd w:val="clear" w:color="auto" w:fill="F4F6F8"/>
          </w:tcPr>
          <w:p>
            <w:pPr>
              <w:jc w:val="center"/>
            </w:pPr>
            <w:r>
              <w:rPr>
                <w:rFonts w:ascii="Calibri" w:hAnsi="Calibri"/>
                <w:sz w:val="19"/>
              </w:rPr>
              <w:t>2020 dollar peak</w:t>
            </w:r>
          </w:p>
        </w:tc>
        <w:tc>
          <w:tcPr>
            <w:tcW w:type="dxa" w:w="1512"/>
            <w:shd w:val="clear" w:color="auto" w:fill="F4F6F8"/>
          </w:tcPr>
          <w:p>
            <w:pPr>
              <w:jc w:val="center"/>
            </w:pPr>
            <w:r>
              <w:rPr>
                <w:rFonts w:ascii="Calibri" w:hAnsi="Calibri"/>
                <w:sz w:val="19"/>
              </w:rPr>
              <w:t>~102</w:t>
            </w:r>
          </w:p>
        </w:tc>
        <w:tc>
          <w:tcPr>
            <w:tcW w:type="dxa" w:w="1512"/>
            <w:shd w:val="clear" w:color="auto" w:fill="F4F6F8"/>
          </w:tcPr>
          <w:p>
            <w:pPr>
              <w:jc w:val="center"/>
            </w:pPr>
            <w:r>
              <w:rPr>
                <w:rFonts w:ascii="Calibri" w:hAnsi="Calibri"/>
                <w:sz w:val="19"/>
              </w:rPr>
              <w:t>Mar 2020</w:t>
            </w:r>
          </w:p>
        </w:tc>
        <w:tc>
          <w:tcPr>
            <w:tcW w:type="dxa" w:w="1512"/>
            <w:shd w:val="clear" w:color="auto" w:fill="F4F6F8"/>
          </w:tcPr>
          <w:p>
            <w:pPr>
              <w:jc w:val="center"/>
            </w:pPr>
            <w:r>
              <w:rPr>
                <w:rFonts w:ascii="Calibri" w:hAnsi="Calibri"/>
                <w:sz w:val="19"/>
              </w:rPr>
              <w:t>+17.4%</w:t>
            </w:r>
          </w:p>
        </w:tc>
        <w:tc>
          <w:tcPr>
            <w:tcW w:type="dxa" w:w="1512"/>
            <w:shd w:val="clear" w:color="auto" w:fill="F4F6F8"/>
          </w:tcPr>
          <w:p>
            <w:pPr>
              <w:jc w:val="center"/>
            </w:pPr>
            <w:r>
              <w:rPr>
                <w:rFonts w:ascii="Calibri" w:hAnsi="Calibri"/>
                <w:sz w:val="19"/>
              </w:rPr>
              <w:t>+12.8%</w:t>
            </w:r>
          </w:p>
        </w:tc>
        <w:tc>
          <w:tcPr>
            <w:tcW w:type="dxa" w:w="1512"/>
            <w:shd w:val="clear" w:color="auto" w:fill="F4F6F8"/>
          </w:tcPr>
          <w:p>
            <w:pPr>
              <w:jc w:val="center"/>
            </w:pPr>
            <w:r>
              <w:rPr>
                <w:rFonts w:ascii="Calibri" w:hAnsi="Calibri"/>
                <w:sz w:val="19"/>
              </w:rPr>
              <w:t>+4.6pp</w:t>
            </w:r>
          </w:p>
        </w:tc>
      </w:tr>
      <w:tr>
        <w:tc>
          <w:tcPr>
            <w:tcW w:type="dxa" w:w="1512"/>
            <w:shd w:val="clear" w:color="auto" w:fill="FFFFFF"/>
          </w:tcPr>
          <w:p>
            <w:pPr>
              <w:jc w:val="center"/>
            </w:pPr>
            <w:r>
              <w:rPr>
                <w:rFonts w:ascii="Calibri" w:hAnsi="Calibri"/>
                <w:sz w:val="19"/>
              </w:rPr>
              <w:t>2022 cycle peak</w:t>
            </w:r>
          </w:p>
        </w:tc>
        <w:tc>
          <w:tcPr>
            <w:tcW w:type="dxa" w:w="1512"/>
            <w:shd w:val="clear" w:color="auto" w:fill="FFFFFF"/>
          </w:tcPr>
          <w:p>
            <w:pPr>
              <w:jc w:val="center"/>
            </w:pPr>
            <w:r>
              <w:rPr>
                <w:rFonts w:ascii="Calibri" w:hAnsi="Calibri"/>
                <w:sz w:val="19"/>
              </w:rPr>
              <w:t>~114</w:t>
            </w:r>
          </w:p>
        </w:tc>
        <w:tc>
          <w:tcPr>
            <w:tcW w:type="dxa" w:w="1512"/>
            <w:shd w:val="clear" w:color="auto" w:fill="FFFFFF"/>
          </w:tcPr>
          <w:p>
            <w:pPr>
              <w:jc w:val="center"/>
            </w:pPr>
            <w:r>
              <w:rPr>
                <w:rFonts w:ascii="Calibri" w:hAnsi="Calibri"/>
                <w:sz w:val="19"/>
              </w:rPr>
              <w:t>Sep 2022</w:t>
            </w:r>
          </w:p>
        </w:tc>
        <w:tc>
          <w:tcPr>
            <w:tcW w:type="dxa" w:w="1512"/>
            <w:shd w:val="clear" w:color="auto" w:fill="FFFFFF"/>
          </w:tcPr>
          <w:p>
            <w:pPr>
              <w:jc w:val="center"/>
            </w:pPr>
            <w:r>
              <w:rPr>
                <w:rFonts w:ascii="Calibri" w:hAnsi="Calibri"/>
                <w:sz w:val="19"/>
              </w:rPr>
              <w:t>+9.8%</w:t>
            </w:r>
          </w:p>
        </w:tc>
        <w:tc>
          <w:tcPr>
            <w:tcW w:type="dxa" w:w="1512"/>
            <w:shd w:val="clear" w:color="auto" w:fill="FFFFFF"/>
          </w:tcPr>
          <w:p>
            <w:pPr>
              <w:jc w:val="center"/>
            </w:pPr>
            <w:r>
              <w:rPr>
                <w:rFonts w:ascii="Calibri" w:hAnsi="Calibri"/>
                <w:sz w:val="19"/>
              </w:rPr>
              <w:t>+5.2%</w:t>
            </w:r>
          </w:p>
        </w:tc>
        <w:tc>
          <w:tcPr>
            <w:tcW w:type="dxa" w:w="1512"/>
            <w:shd w:val="clear" w:color="auto" w:fill="FFFFFF"/>
          </w:tcPr>
          <w:p>
            <w:pPr>
              <w:jc w:val="center"/>
            </w:pPr>
            <w:r>
              <w:rPr>
                <w:rFonts w:ascii="Calibri" w:hAnsi="Calibri"/>
                <w:sz w:val="19"/>
              </w:rPr>
              <w:t>+4.6pp</w:t>
            </w:r>
          </w:p>
        </w:tc>
      </w:tr>
      <w:tr>
        <w:tc>
          <w:tcPr>
            <w:tcW w:type="dxa" w:w="1512"/>
            <w:shd w:val="clear" w:color="auto" w:fill="F4F6F8"/>
          </w:tcPr>
          <w:p>
            <w:pPr>
              <w:jc w:val="center"/>
            </w:pPr>
            <w:r>
              <w:rPr>
                <w:rFonts w:ascii="Calibri" w:hAnsi="Calibri"/>
                <w:sz w:val="19"/>
              </w:rPr>
              <w:t>Average</w:t>
            </w:r>
          </w:p>
        </w:tc>
        <w:tc>
          <w:tcPr>
            <w:tcW w:type="dxa" w:w="1512"/>
            <w:shd w:val="clear" w:color="auto" w:fill="F4F6F8"/>
          </w:tcPr>
          <w:p>
            <w:pPr>
              <w:jc w:val="center"/>
            </w:pPr>
            <w:r>
              <w:rPr>
                <w:rFonts w:ascii="Calibri" w:hAnsi="Calibri"/>
                <w:sz w:val="19"/>
              </w:rPr>
            </w:r>
          </w:p>
        </w:tc>
        <w:tc>
          <w:tcPr>
            <w:tcW w:type="dxa" w:w="1512"/>
            <w:shd w:val="clear" w:color="auto" w:fill="F4F6F8"/>
          </w:tcPr>
          <w:p>
            <w:pPr>
              <w:jc w:val="center"/>
            </w:pPr>
            <w:r>
              <w:rPr>
                <w:rFonts w:ascii="Calibri" w:hAnsi="Calibri"/>
                <w:sz w:val="19"/>
              </w:rPr>
            </w:r>
          </w:p>
        </w:tc>
        <w:tc>
          <w:tcPr>
            <w:tcW w:type="dxa" w:w="1512"/>
            <w:shd w:val="clear" w:color="auto" w:fill="F4F6F8"/>
          </w:tcPr>
          <w:p>
            <w:pPr>
              <w:jc w:val="center"/>
            </w:pPr>
            <w:r>
              <w:rPr>
                <w:rFonts w:ascii="Calibri" w:hAnsi="Calibri"/>
                <w:sz w:val="19"/>
              </w:rPr>
              <w:t>+16.7%</w:t>
            </w:r>
          </w:p>
        </w:tc>
        <w:tc>
          <w:tcPr>
            <w:tcW w:type="dxa" w:w="1512"/>
            <w:shd w:val="clear" w:color="auto" w:fill="F4F6F8"/>
          </w:tcPr>
          <w:p>
            <w:pPr>
              <w:jc w:val="center"/>
            </w:pPr>
            <w:r>
              <w:rPr>
                <w:rFonts w:ascii="Calibri" w:hAnsi="Calibri"/>
                <w:sz w:val="19"/>
              </w:rPr>
              <w:t>+8.1%</w:t>
            </w:r>
          </w:p>
        </w:tc>
        <w:tc>
          <w:tcPr>
            <w:tcW w:type="dxa" w:w="1512"/>
            <w:shd w:val="clear" w:color="auto" w:fill="F4F6F8"/>
          </w:tcPr>
          <w:p>
            <w:pPr>
              <w:jc w:val="center"/>
            </w:pPr>
            <w:r>
              <w:rPr>
                <w:rFonts w:ascii="Calibri" w:hAnsi="Calibri"/>
                <w:sz w:val="19"/>
              </w:rPr>
              <w:t>+8.6pp</w:t>
            </w:r>
          </w:p>
        </w:tc>
      </w:tr>
    </w:tbl>
    <w:p/>
    <w:p>
      <w:pPr>
        <w:spacing w:before="0" w:after="80"/>
      </w:pPr>
      <w:r>
        <w:rPr>
          <w:rFonts w:ascii="Calibri" w:hAnsi="Calibri"/>
          <w:i w:val="0"/>
          <w:sz w:val="20"/>
        </w:rPr>
        <w:t>Average EM outperformance of +8.6pp in the 12 months following a DXY cycle peak, based on four identified peaks since 2002. Source: Bloomberg, MSCI Total Return USD. Current DXY ~100 is below the 2022 peak of 114, consistent with a late-cycle peak environment.</w:t>
      </w:r>
    </w:p>
    <w:p>
      <w:pPr>
        <w:spacing w:before="120" w:after="40"/>
      </w:pPr>
      <w:r>
        <w:rPr>
          <w:rFonts w:ascii="Calibri" w:hAnsi="Calibri"/>
          <w:b/>
          <w:color w:val="1B4F72"/>
          <w:sz w:val="22"/>
        </w:rPr>
        <w:t>3. P/E Discount Mean-Reversion — Scenario Analysis</w:t>
      </w:r>
    </w:p>
    <w:p>
      <w:pPr>
        <w:spacing w:before="0" w:after="80"/>
      </w:pPr>
      <w:r>
        <w:rPr>
          <w:rFonts w:ascii="Calibri" w:hAnsi="Calibri"/>
          <w:i w:val="0"/>
          <w:sz w:val="20"/>
        </w:rPr>
        <w:t>Entry: MSCI EM forward P/E 12.5x. EPS growth assumption: +3% (conservative; consensus +5%). 20-year average discount: -28%. Current discount: -37%.</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D1B2A"/>
          </w:tcPr>
          <w:p>
            <w:pPr>
              <w:jc w:val="center"/>
            </w:pPr>
            <w:r>
              <w:rPr>
                <w:rFonts w:ascii="Calibri" w:hAnsi="Calibri"/>
                <w:b/>
                <w:color w:val="FFFFFF"/>
                <w:sz w:val="19"/>
              </w:rPr>
              <w:t>Scenario</w:t>
            </w:r>
          </w:p>
        </w:tc>
        <w:tc>
          <w:tcPr>
            <w:tcW w:type="dxa" w:w="1512"/>
            <w:shd w:val="clear" w:color="auto" w:fill="0D1B2A"/>
          </w:tcPr>
          <w:p>
            <w:pPr>
              <w:jc w:val="center"/>
            </w:pPr>
            <w:r>
              <w:rPr>
                <w:rFonts w:ascii="Calibri" w:hAnsi="Calibri"/>
                <w:b/>
                <w:color w:val="FFFFFF"/>
                <w:sz w:val="19"/>
              </w:rPr>
              <w:t>Target P/E</w:t>
            </w:r>
          </w:p>
        </w:tc>
        <w:tc>
          <w:tcPr>
            <w:tcW w:type="dxa" w:w="1512"/>
            <w:shd w:val="clear" w:color="auto" w:fill="0D1B2A"/>
          </w:tcPr>
          <w:p>
            <w:pPr>
              <w:jc w:val="center"/>
            </w:pPr>
            <w:r>
              <w:rPr>
                <w:rFonts w:ascii="Calibri" w:hAnsi="Calibri"/>
                <w:b/>
                <w:color w:val="FFFFFF"/>
                <w:sz w:val="19"/>
              </w:rPr>
              <w:t>Implied Discount</w:t>
            </w:r>
          </w:p>
        </w:tc>
        <w:tc>
          <w:tcPr>
            <w:tcW w:type="dxa" w:w="1512"/>
            <w:shd w:val="clear" w:color="auto" w:fill="0D1B2A"/>
          </w:tcPr>
          <w:p>
            <w:pPr>
              <w:jc w:val="center"/>
            </w:pPr>
            <w:r>
              <w:rPr>
                <w:rFonts w:ascii="Calibri" w:hAnsi="Calibri"/>
                <w:b/>
                <w:color w:val="FFFFFF"/>
                <w:sz w:val="19"/>
              </w:rPr>
              <w:t>P/E Upside</w:t>
            </w:r>
          </w:p>
        </w:tc>
        <w:tc>
          <w:tcPr>
            <w:tcW w:type="dxa" w:w="1512"/>
            <w:shd w:val="clear" w:color="auto" w:fill="0D1B2A"/>
          </w:tcPr>
          <w:p>
            <w:pPr>
              <w:jc w:val="center"/>
            </w:pPr>
            <w:r>
              <w:rPr>
                <w:rFonts w:ascii="Calibri" w:hAnsi="Calibri"/>
                <w:b/>
                <w:color w:val="FFFFFF"/>
                <w:sz w:val="19"/>
              </w:rPr>
              <w:t>w/ EPS (3%)</w:t>
            </w:r>
          </w:p>
        </w:tc>
        <w:tc>
          <w:tcPr>
            <w:tcW w:type="dxa" w:w="1512"/>
            <w:shd w:val="clear" w:color="auto" w:fill="0D1B2A"/>
          </w:tcPr>
          <w:p>
            <w:pPr>
              <w:jc w:val="center"/>
            </w:pPr>
            <w:r>
              <w:rPr>
                <w:rFonts w:ascii="Calibri" w:hAnsi="Calibri"/>
                <w:b/>
                <w:color w:val="FFFFFF"/>
                <w:sz w:val="19"/>
              </w:rPr>
              <w:t>Total Return</w:t>
            </w:r>
          </w:p>
        </w:tc>
      </w:tr>
      <w:tr>
        <w:tc>
          <w:tcPr>
            <w:tcW w:type="dxa" w:w="1512"/>
            <w:shd w:val="clear" w:color="auto" w:fill="F4F6F8"/>
          </w:tcPr>
          <w:p>
            <w:pPr>
              <w:jc w:val="center"/>
            </w:pPr>
            <w:r>
              <w:rPr>
                <w:rFonts w:ascii="Calibri" w:hAnsi="Calibri"/>
                <w:sz w:val="19"/>
              </w:rPr>
              <w:t>No re-rating</w:t>
            </w:r>
          </w:p>
        </w:tc>
        <w:tc>
          <w:tcPr>
            <w:tcW w:type="dxa" w:w="1512"/>
            <w:shd w:val="clear" w:color="auto" w:fill="F4F6F8"/>
          </w:tcPr>
          <w:p>
            <w:pPr>
              <w:jc w:val="center"/>
            </w:pPr>
            <w:r>
              <w:rPr>
                <w:rFonts w:ascii="Calibri" w:hAnsi="Calibri"/>
                <w:sz w:val="19"/>
              </w:rPr>
              <w:t>12.5x</w:t>
            </w:r>
          </w:p>
        </w:tc>
        <w:tc>
          <w:tcPr>
            <w:tcW w:type="dxa" w:w="1512"/>
            <w:shd w:val="clear" w:color="auto" w:fill="F4F6F8"/>
          </w:tcPr>
          <w:p>
            <w:pPr>
              <w:jc w:val="center"/>
            </w:pPr>
            <w:r>
              <w:rPr>
                <w:rFonts w:ascii="Calibri" w:hAnsi="Calibri"/>
                <w:sz w:val="19"/>
              </w:rPr>
              <w:t>-37% (current)</w:t>
            </w:r>
          </w:p>
        </w:tc>
        <w:tc>
          <w:tcPr>
            <w:tcW w:type="dxa" w:w="1512"/>
            <w:shd w:val="clear" w:color="auto" w:fill="F4F6F8"/>
          </w:tcPr>
          <w:p>
            <w:pPr>
              <w:jc w:val="center"/>
            </w:pPr>
            <w:r>
              <w:rPr>
                <w:rFonts w:ascii="Calibri" w:hAnsi="Calibri"/>
                <w:sz w:val="19"/>
              </w:rPr>
              <w:t>0.0%</w:t>
            </w:r>
          </w:p>
        </w:tc>
        <w:tc>
          <w:tcPr>
            <w:tcW w:type="dxa" w:w="1512"/>
            <w:shd w:val="clear" w:color="auto" w:fill="F4F6F8"/>
          </w:tcPr>
          <w:p>
            <w:pPr>
              <w:jc w:val="center"/>
            </w:pPr>
            <w:r>
              <w:rPr>
                <w:rFonts w:ascii="Calibri" w:hAnsi="Calibri"/>
                <w:sz w:val="19"/>
              </w:rPr>
              <w:t>+3%</w:t>
            </w:r>
          </w:p>
        </w:tc>
        <w:tc>
          <w:tcPr>
            <w:tcW w:type="dxa" w:w="1512"/>
            <w:shd w:val="clear" w:color="auto" w:fill="F4F6F8"/>
          </w:tcPr>
          <w:p>
            <w:pPr>
              <w:jc w:val="center"/>
            </w:pPr>
            <w:r>
              <w:rPr>
                <w:rFonts w:ascii="Calibri" w:hAnsi="Calibri"/>
                <w:sz w:val="19"/>
              </w:rPr>
              <w:t>+3.0%</w:t>
            </w:r>
          </w:p>
        </w:tc>
      </w:tr>
      <w:tr>
        <w:tc>
          <w:tcPr>
            <w:tcW w:type="dxa" w:w="1512"/>
            <w:shd w:val="clear" w:color="auto" w:fill="FFFFFF"/>
          </w:tcPr>
          <w:p>
            <w:pPr>
              <w:jc w:val="center"/>
            </w:pPr>
            <w:r>
              <w:rPr>
                <w:rFonts w:ascii="Calibri" w:hAnsi="Calibri"/>
                <w:sz w:val="19"/>
              </w:rPr>
              <w:t>Partial revert</w:t>
            </w:r>
          </w:p>
        </w:tc>
        <w:tc>
          <w:tcPr>
            <w:tcW w:type="dxa" w:w="1512"/>
            <w:shd w:val="clear" w:color="auto" w:fill="FFFFFF"/>
          </w:tcPr>
          <w:p>
            <w:pPr>
              <w:jc w:val="center"/>
            </w:pPr>
            <w:r>
              <w:rPr>
                <w:rFonts w:ascii="Calibri" w:hAnsi="Calibri"/>
                <w:sz w:val="19"/>
              </w:rPr>
              <w:t>13.5x</w:t>
            </w:r>
          </w:p>
        </w:tc>
        <w:tc>
          <w:tcPr>
            <w:tcW w:type="dxa" w:w="1512"/>
            <w:shd w:val="clear" w:color="auto" w:fill="FFFFFF"/>
          </w:tcPr>
          <w:p>
            <w:pPr>
              <w:jc w:val="center"/>
            </w:pPr>
            <w:r>
              <w:rPr>
                <w:rFonts w:ascii="Calibri" w:hAnsi="Calibri"/>
                <w:sz w:val="19"/>
              </w:rPr>
              <w:t>-32%</w:t>
            </w:r>
          </w:p>
        </w:tc>
        <w:tc>
          <w:tcPr>
            <w:tcW w:type="dxa" w:w="1512"/>
            <w:shd w:val="clear" w:color="auto" w:fill="FFFFFF"/>
          </w:tcPr>
          <w:p>
            <w:pPr>
              <w:jc w:val="center"/>
            </w:pPr>
            <w:r>
              <w:rPr>
                <w:rFonts w:ascii="Calibri" w:hAnsi="Calibri"/>
                <w:sz w:val="19"/>
              </w:rPr>
              <w:t>+8.0%</w:t>
            </w:r>
          </w:p>
        </w:tc>
        <w:tc>
          <w:tcPr>
            <w:tcW w:type="dxa" w:w="1512"/>
            <w:shd w:val="clear" w:color="auto" w:fill="FFFFFF"/>
          </w:tcPr>
          <w:p>
            <w:pPr>
              <w:jc w:val="center"/>
            </w:pPr>
            <w:r>
              <w:rPr>
                <w:rFonts w:ascii="Calibri" w:hAnsi="Calibri"/>
                <w:sz w:val="19"/>
              </w:rPr>
              <w:t>+3%</w:t>
            </w:r>
          </w:p>
        </w:tc>
        <w:tc>
          <w:tcPr>
            <w:tcW w:type="dxa" w:w="1512"/>
            <w:shd w:val="clear" w:color="auto" w:fill="FFFFFF"/>
          </w:tcPr>
          <w:p>
            <w:pPr>
              <w:jc w:val="center"/>
            </w:pPr>
            <w:r>
              <w:rPr>
                <w:rFonts w:ascii="Calibri" w:hAnsi="Calibri"/>
                <w:sz w:val="19"/>
              </w:rPr>
              <w:t>+11.2%</w:t>
            </w:r>
          </w:p>
        </w:tc>
      </w:tr>
      <w:tr>
        <w:tc>
          <w:tcPr>
            <w:tcW w:type="dxa" w:w="1512"/>
            <w:shd w:val="clear" w:color="auto" w:fill="F4F6F8"/>
          </w:tcPr>
          <w:p>
            <w:pPr>
              <w:jc w:val="center"/>
            </w:pPr>
            <w:r>
              <w:rPr>
                <w:rFonts w:ascii="Calibri" w:hAnsi="Calibri"/>
                <w:sz w:val="19"/>
              </w:rPr>
              <w:t>Mean revert (base)</w:t>
            </w:r>
          </w:p>
        </w:tc>
        <w:tc>
          <w:tcPr>
            <w:tcW w:type="dxa" w:w="1512"/>
            <w:shd w:val="clear" w:color="auto" w:fill="F4F6F8"/>
          </w:tcPr>
          <w:p>
            <w:pPr>
              <w:jc w:val="center"/>
            </w:pPr>
            <w:r>
              <w:rPr>
                <w:rFonts w:ascii="Calibri" w:hAnsi="Calibri"/>
                <w:sz w:val="19"/>
              </w:rPr>
              <w:t>14.5x</w:t>
            </w:r>
          </w:p>
        </w:tc>
        <w:tc>
          <w:tcPr>
            <w:tcW w:type="dxa" w:w="1512"/>
            <w:shd w:val="clear" w:color="auto" w:fill="F4F6F8"/>
          </w:tcPr>
          <w:p>
            <w:pPr>
              <w:jc w:val="center"/>
            </w:pPr>
            <w:r>
              <w:rPr>
                <w:rFonts w:ascii="Calibri" w:hAnsi="Calibri"/>
                <w:sz w:val="19"/>
              </w:rPr>
              <w:t>-27% (20yr avg)</w:t>
            </w:r>
          </w:p>
        </w:tc>
        <w:tc>
          <w:tcPr>
            <w:tcW w:type="dxa" w:w="1512"/>
            <w:shd w:val="clear" w:color="auto" w:fill="F4F6F8"/>
          </w:tcPr>
          <w:p>
            <w:pPr>
              <w:jc w:val="center"/>
            </w:pPr>
            <w:r>
              <w:rPr>
                <w:rFonts w:ascii="Calibri" w:hAnsi="Calibri"/>
                <w:sz w:val="19"/>
              </w:rPr>
              <w:t>+16.0%</w:t>
            </w:r>
          </w:p>
        </w:tc>
        <w:tc>
          <w:tcPr>
            <w:tcW w:type="dxa" w:w="1512"/>
            <w:shd w:val="clear" w:color="auto" w:fill="F4F6F8"/>
          </w:tcPr>
          <w:p>
            <w:pPr>
              <w:jc w:val="center"/>
            </w:pPr>
            <w:r>
              <w:rPr>
                <w:rFonts w:ascii="Calibri" w:hAnsi="Calibri"/>
                <w:sz w:val="19"/>
              </w:rPr>
              <w:t>+3%</w:t>
            </w:r>
          </w:p>
        </w:tc>
        <w:tc>
          <w:tcPr>
            <w:tcW w:type="dxa" w:w="1512"/>
            <w:shd w:val="clear" w:color="auto" w:fill="F4F6F8"/>
          </w:tcPr>
          <w:p>
            <w:pPr>
              <w:jc w:val="center"/>
            </w:pPr>
            <w:r>
              <w:rPr>
                <w:rFonts w:ascii="Calibri" w:hAnsi="Calibri"/>
                <w:sz w:val="19"/>
              </w:rPr>
              <w:t>+19.5%</w:t>
            </w:r>
          </w:p>
        </w:tc>
      </w:tr>
      <w:tr>
        <w:tc>
          <w:tcPr>
            <w:tcW w:type="dxa" w:w="1512"/>
            <w:shd w:val="clear" w:color="auto" w:fill="FFFFFF"/>
          </w:tcPr>
          <w:p>
            <w:pPr>
              <w:jc w:val="center"/>
            </w:pPr>
            <w:r>
              <w:rPr>
                <w:rFonts w:ascii="Calibri" w:hAnsi="Calibri"/>
                <w:sz w:val="19"/>
              </w:rPr>
              <w:t>2016 re-rate peak</w:t>
            </w:r>
          </w:p>
        </w:tc>
        <w:tc>
          <w:tcPr>
            <w:tcW w:type="dxa" w:w="1512"/>
            <w:shd w:val="clear" w:color="auto" w:fill="FFFFFF"/>
          </w:tcPr>
          <w:p>
            <w:pPr>
              <w:jc w:val="center"/>
            </w:pPr>
            <w:r>
              <w:rPr>
                <w:rFonts w:ascii="Calibri" w:hAnsi="Calibri"/>
                <w:sz w:val="19"/>
              </w:rPr>
              <w:t>15.5x</w:t>
            </w:r>
          </w:p>
        </w:tc>
        <w:tc>
          <w:tcPr>
            <w:tcW w:type="dxa" w:w="1512"/>
            <w:shd w:val="clear" w:color="auto" w:fill="FFFFFF"/>
          </w:tcPr>
          <w:p>
            <w:pPr>
              <w:jc w:val="center"/>
            </w:pPr>
            <w:r>
              <w:rPr>
                <w:rFonts w:ascii="Calibri" w:hAnsi="Calibri"/>
                <w:sz w:val="19"/>
              </w:rPr>
              <w:t>-22%</w:t>
            </w:r>
          </w:p>
        </w:tc>
        <w:tc>
          <w:tcPr>
            <w:tcW w:type="dxa" w:w="1512"/>
            <w:shd w:val="clear" w:color="auto" w:fill="FFFFFF"/>
          </w:tcPr>
          <w:p>
            <w:pPr>
              <w:jc w:val="center"/>
            </w:pPr>
            <w:r>
              <w:rPr>
                <w:rFonts w:ascii="Calibri" w:hAnsi="Calibri"/>
                <w:sz w:val="19"/>
              </w:rPr>
              <w:t>+24.0%</w:t>
            </w:r>
          </w:p>
        </w:tc>
        <w:tc>
          <w:tcPr>
            <w:tcW w:type="dxa" w:w="1512"/>
            <w:shd w:val="clear" w:color="auto" w:fill="FFFFFF"/>
          </w:tcPr>
          <w:p>
            <w:pPr>
              <w:jc w:val="center"/>
            </w:pPr>
            <w:r>
              <w:rPr>
                <w:rFonts w:ascii="Calibri" w:hAnsi="Calibri"/>
                <w:sz w:val="19"/>
              </w:rPr>
              <w:t>+3%</w:t>
            </w:r>
          </w:p>
        </w:tc>
        <w:tc>
          <w:tcPr>
            <w:tcW w:type="dxa" w:w="1512"/>
            <w:shd w:val="clear" w:color="auto" w:fill="FFFFFF"/>
          </w:tcPr>
          <w:p>
            <w:pPr>
              <w:jc w:val="center"/>
            </w:pPr>
            <w:r>
              <w:rPr>
                <w:rFonts w:ascii="Calibri" w:hAnsi="Calibri"/>
                <w:sz w:val="19"/>
              </w:rPr>
              <w:t>+27.7%</w:t>
            </w:r>
          </w:p>
        </w:tc>
      </w:tr>
      <w:tr>
        <w:tc>
          <w:tcPr>
            <w:tcW w:type="dxa" w:w="1512"/>
            <w:shd w:val="clear" w:color="auto" w:fill="F4F6F8"/>
          </w:tcPr>
          <w:p>
            <w:pPr>
              <w:jc w:val="center"/>
            </w:pPr>
            <w:r>
              <w:rPr>
                <w:rFonts w:ascii="Calibri" w:hAnsi="Calibri"/>
                <w:sz w:val="19"/>
              </w:rPr>
              <w:t>Full discount close</w:t>
            </w:r>
          </w:p>
        </w:tc>
        <w:tc>
          <w:tcPr>
            <w:tcW w:type="dxa" w:w="1512"/>
            <w:shd w:val="clear" w:color="auto" w:fill="F4F6F8"/>
          </w:tcPr>
          <w:p>
            <w:pPr>
              <w:jc w:val="center"/>
            </w:pPr>
            <w:r>
              <w:rPr>
                <w:rFonts w:ascii="Calibri" w:hAnsi="Calibri"/>
                <w:sz w:val="19"/>
              </w:rPr>
              <w:t>16.5x</w:t>
            </w:r>
          </w:p>
        </w:tc>
        <w:tc>
          <w:tcPr>
            <w:tcW w:type="dxa" w:w="1512"/>
            <w:shd w:val="clear" w:color="auto" w:fill="F4F6F8"/>
          </w:tcPr>
          <w:p>
            <w:pPr>
              <w:jc w:val="center"/>
            </w:pPr>
            <w:r>
              <w:rPr>
                <w:rFonts w:ascii="Calibri" w:hAnsi="Calibri"/>
                <w:sz w:val="19"/>
              </w:rPr>
              <w:t>-17%</w:t>
            </w:r>
          </w:p>
        </w:tc>
        <w:tc>
          <w:tcPr>
            <w:tcW w:type="dxa" w:w="1512"/>
            <w:shd w:val="clear" w:color="auto" w:fill="F4F6F8"/>
          </w:tcPr>
          <w:p>
            <w:pPr>
              <w:jc w:val="center"/>
            </w:pPr>
            <w:r>
              <w:rPr>
                <w:rFonts w:ascii="Calibri" w:hAnsi="Calibri"/>
                <w:sz w:val="19"/>
              </w:rPr>
              <w:t>+32.0%</w:t>
            </w:r>
          </w:p>
        </w:tc>
        <w:tc>
          <w:tcPr>
            <w:tcW w:type="dxa" w:w="1512"/>
            <w:shd w:val="clear" w:color="auto" w:fill="F4F6F8"/>
          </w:tcPr>
          <w:p>
            <w:pPr>
              <w:jc w:val="center"/>
            </w:pPr>
            <w:r>
              <w:rPr>
                <w:rFonts w:ascii="Calibri" w:hAnsi="Calibri"/>
                <w:sz w:val="19"/>
              </w:rPr>
              <w:t>+3%</w:t>
            </w:r>
          </w:p>
        </w:tc>
        <w:tc>
          <w:tcPr>
            <w:tcW w:type="dxa" w:w="1512"/>
            <w:shd w:val="clear" w:color="auto" w:fill="F4F6F8"/>
          </w:tcPr>
          <w:p>
            <w:pPr>
              <w:jc w:val="center"/>
            </w:pPr>
            <w:r>
              <w:rPr>
                <w:rFonts w:ascii="Calibri" w:hAnsi="Calibri"/>
                <w:sz w:val="19"/>
              </w:rPr>
              <w:t>+36.0%</w:t>
            </w:r>
          </w:p>
        </w:tc>
      </w:tr>
    </w:tbl>
    <w:p/>
    <w:p>
      <w:pPr>
        <w:spacing w:before="120" w:after="40"/>
      </w:pPr>
      <w:r>
        <w:rPr>
          <w:rFonts w:ascii="Calibri" w:hAnsi="Calibri"/>
          <w:b/>
          <w:color w:val="1B4F72"/>
          <w:sz w:val="22"/>
        </w:rPr>
        <w:t>4. Country-Level Valuation Snapshot — MSCI EM Components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D1B2A"/>
          </w:tcPr>
          <w:p>
            <w:pPr>
              <w:jc w:val="center"/>
            </w:pPr>
            <w:r>
              <w:rPr>
                <w:rFonts w:ascii="Calibri" w:hAnsi="Calibri"/>
                <w:b/>
                <w:color w:val="FFFFFF"/>
                <w:sz w:val="19"/>
              </w:rPr>
              <w:t>Country</w:t>
            </w:r>
          </w:p>
        </w:tc>
        <w:tc>
          <w:tcPr>
            <w:tcW w:type="dxa" w:w="1512"/>
            <w:shd w:val="clear" w:color="auto" w:fill="0D1B2A"/>
          </w:tcPr>
          <w:p>
            <w:pPr>
              <w:jc w:val="center"/>
            </w:pPr>
            <w:r>
              <w:rPr>
                <w:rFonts w:ascii="Calibri" w:hAnsi="Calibri"/>
                <w:b/>
                <w:color w:val="FFFFFF"/>
                <w:sz w:val="19"/>
              </w:rPr>
              <w:t>MSCI EM Weight</w:t>
            </w:r>
          </w:p>
        </w:tc>
        <w:tc>
          <w:tcPr>
            <w:tcW w:type="dxa" w:w="1512"/>
            <w:shd w:val="clear" w:color="auto" w:fill="0D1B2A"/>
          </w:tcPr>
          <w:p>
            <w:pPr>
              <w:jc w:val="center"/>
            </w:pPr>
            <w:r>
              <w:rPr>
                <w:rFonts w:ascii="Calibri" w:hAnsi="Calibri"/>
                <w:b/>
                <w:color w:val="FFFFFF"/>
                <w:sz w:val="19"/>
              </w:rPr>
              <w:t>Fwd P/E</w:t>
            </w:r>
          </w:p>
        </w:tc>
        <w:tc>
          <w:tcPr>
            <w:tcW w:type="dxa" w:w="1512"/>
            <w:shd w:val="clear" w:color="auto" w:fill="0D1B2A"/>
          </w:tcPr>
          <w:p>
            <w:pPr>
              <w:jc w:val="center"/>
            </w:pPr>
            <w:r>
              <w:rPr>
                <w:rFonts w:ascii="Calibri" w:hAnsi="Calibri"/>
                <w:b/>
                <w:color w:val="FFFFFF"/>
                <w:sz w:val="19"/>
              </w:rPr>
              <w:t>5yr Avg P/E</w:t>
            </w:r>
          </w:p>
        </w:tc>
        <w:tc>
          <w:tcPr>
            <w:tcW w:type="dxa" w:w="1512"/>
            <w:shd w:val="clear" w:color="auto" w:fill="0D1B2A"/>
          </w:tcPr>
          <w:p>
            <w:pPr>
              <w:jc w:val="center"/>
            </w:pPr>
            <w:r>
              <w:rPr>
                <w:rFonts w:ascii="Calibri" w:hAnsi="Calibri"/>
                <w:b/>
                <w:color w:val="FFFFFF"/>
                <w:sz w:val="19"/>
              </w:rPr>
              <w:t>Discount</w:t>
            </w:r>
          </w:p>
        </w:tc>
        <w:tc>
          <w:tcPr>
            <w:tcW w:type="dxa" w:w="1512"/>
            <w:shd w:val="clear" w:color="auto" w:fill="0D1B2A"/>
          </w:tcPr>
          <w:p>
            <w:pPr>
              <w:jc w:val="center"/>
            </w:pPr>
            <w:r>
              <w:rPr>
                <w:rFonts w:ascii="Calibri" w:hAnsi="Calibri"/>
                <w:b/>
                <w:color w:val="FFFFFF"/>
                <w:sz w:val="19"/>
              </w:rPr>
              <w:t>EPS Growth (2026E)</w:t>
            </w:r>
          </w:p>
        </w:tc>
      </w:tr>
      <w:tr>
        <w:tc>
          <w:tcPr>
            <w:tcW w:type="dxa" w:w="1512"/>
            <w:shd w:val="clear" w:color="auto" w:fill="F4F6F8"/>
          </w:tcPr>
          <w:p>
            <w:pPr>
              <w:jc w:val="center"/>
            </w:pPr>
            <w:r>
              <w:rPr>
                <w:rFonts w:ascii="Calibri" w:hAnsi="Calibri"/>
                <w:sz w:val="19"/>
              </w:rPr>
              <w:t>China</w:t>
            </w:r>
          </w:p>
        </w:tc>
        <w:tc>
          <w:tcPr>
            <w:tcW w:type="dxa" w:w="1512"/>
            <w:shd w:val="clear" w:color="auto" w:fill="F4F6F8"/>
          </w:tcPr>
          <w:p>
            <w:pPr>
              <w:jc w:val="center"/>
            </w:pPr>
            <w:r>
              <w:rPr>
                <w:rFonts w:ascii="Calibri" w:hAnsi="Calibri"/>
                <w:sz w:val="19"/>
              </w:rPr>
              <w:t>30%</w:t>
            </w:r>
          </w:p>
        </w:tc>
        <w:tc>
          <w:tcPr>
            <w:tcW w:type="dxa" w:w="1512"/>
            <w:shd w:val="clear" w:color="auto" w:fill="F4F6F8"/>
          </w:tcPr>
          <w:p>
            <w:pPr>
              <w:jc w:val="center"/>
            </w:pPr>
            <w:r>
              <w:rPr>
                <w:rFonts w:ascii="Calibri" w:hAnsi="Calibri"/>
                <w:sz w:val="19"/>
              </w:rPr>
              <w:t>11.2x</w:t>
            </w:r>
          </w:p>
        </w:tc>
        <w:tc>
          <w:tcPr>
            <w:tcW w:type="dxa" w:w="1512"/>
            <w:shd w:val="clear" w:color="auto" w:fill="F4F6F8"/>
          </w:tcPr>
          <w:p>
            <w:pPr>
              <w:jc w:val="center"/>
            </w:pPr>
            <w:r>
              <w:rPr>
                <w:rFonts w:ascii="Calibri" w:hAnsi="Calibri"/>
                <w:sz w:val="19"/>
              </w:rPr>
              <w:t>13.5x</w:t>
            </w:r>
          </w:p>
        </w:tc>
        <w:tc>
          <w:tcPr>
            <w:tcW w:type="dxa" w:w="1512"/>
            <w:shd w:val="clear" w:color="auto" w:fill="F4F6F8"/>
          </w:tcPr>
          <w:p>
            <w:pPr>
              <w:jc w:val="center"/>
            </w:pPr>
            <w:r>
              <w:rPr>
                <w:rFonts w:ascii="Calibri" w:hAnsi="Calibri"/>
                <w:sz w:val="19"/>
              </w:rPr>
              <w:t>-17%</w:t>
            </w:r>
          </w:p>
        </w:tc>
        <w:tc>
          <w:tcPr>
            <w:tcW w:type="dxa" w:w="1512"/>
            <w:shd w:val="clear" w:color="auto" w:fill="F4F6F8"/>
          </w:tcPr>
          <w:p>
            <w:pPr>
              <w:jc w:val="center"/>
            </w:pPr>
            <w:r>
              <w:rPr>
                <w:rFonts w:ascii="Calibri" w:hAnsi="Calibri"/>
                <w:sz w:val="19"/>
              </w:rPr>
              <w:t>+8%</w:t>
            </w:r>
          </w:p>
        </w:tc>
      </w:tr>
      <w:tr>
        <w:tc>
          <w:tcPr>
            <w:tcW w:type="dxa" w:w="1512"/>
            <w:shd w:val="clear" w:color="auto" w:fill="FFFFFF"/>
          </w:tcPr>
          <w:p>
            <w:pPr>
              <w:jc w:val="center"/>
            </w:pPr>
            <w:r>
              <w:rPr>
                <w:rFonts w:ascii="Calibri" w:hAnsi="Calibri"/>
                <w:sz w:val="19"/>
              </w:rPr>
              <w:t>India</w:t>
            </w:r>
          </w:p>
        </w:tc>
        <w:tc>
          <w:tcPr>
            <w:tcW w:type="dxa" w:w="1512"/>
            <w:shd w:val="clear" w:color="auto" w:fill="FFFFFF"/>
          </w:tcPr>
          <w:p>
            <w:pPr>
              <w:jc w:val="center"/>
            </w:pPr>
            <w:r>
              <w:rPr>
                <w:rFonts w:ascii="Calibri" w:hAnsi="Calibri"/>
                <w:sz w:val="19"/>
              </w:rPr>
              <w:t>17%</w:t>
            </w:r>
          </w:p>
        </w:tc>
        <w:tc>
          <w:tcPr>
            <w:tcW w:type="dxa" w:w="1512"/>
            <w:shd w:val="clear" w:color="auto" w:fill="FFFFFF"/>
          </w:tcPr>
          <w:p>
            <w:pPr>
              <w:jc w:val="center"/>
            </w:pPr>
            <w:r>
              <w:rPr>
                <w:rFonts w:ascii="Calibri" w:hAnsi="Calibri"/>
                <w:sz w:val="19"/>
              </w:rPr>
              <w:t>20.1x</w:t>
            </w:r>
          </w:p>
        </w:tc>
        <w:tc>
          <w:tcPr>
            <w:tcW w:type="dxa" w:w="1512"/>
            <w:shd w:val="clear" w:color="auto" w:fill="FFFFFF"/>
          </w:tcPr>
          <w:p>
            <w:pPr>
              <w:jc w:val="center"/>
            </w:pPr>
            <w:r>
              <w:rPr>
                <w:rFonts w:ascii="Calibri" w:hAnsi="Calibri"/>
                <w:sz w:val="19"/>
              </w:rPr>
              <w:t>23.4x</w:t>
            </w:r>
          </w:p>
        </w:tc>
        <w:tc>
          <w:tcPr>
            <w:tcW w:type="dxa" w:w="1512"/>
            <w:shd w:val="clear" w:color="auto" w:fill="FFFFFF"/>
          </w:tcPr>
          <w:p>
            <w:pPr>
              <w:jc w:val="center"/>
            </w:pPr>
            <w:r>
              <w:rPr>
                <w:rFonts w:ascii="Calibri" w:hAnsi="Calibri"/>
                <w:sz w:val="19"/>
              </w:rPr>
              <w:t>-14%</w:t>
            </w:r>
          </w:p>
        </w:tc>
        <w:tc>
          <w:tcPr>
            <w:tcW w:type="dxa" w:w="1512"/>
            <w:shd w:val="clear" w:color="auto" w:fill="FFFFFF"/>
          </w:tcPr>
          <w:p>
            <w:pPr>
              <w:jc w:val="center"/>
            </w:pPr>
            <w:r>
              <w:rPr>
                <w:rFonts w:ascii="Calibri" w:hAnsi="Calibri"/>
                <w:sz w:val="19"/>
              </w:rPr>
              <w:t>+14%</w:t>
            </w:r>
          </w:p>
        </w:tc>
      </w:tr>
      <w:tr>
        <w:tc>
          <w:tcPr>
            <w:tcW w:type="dxa" w:w="1512"/>
            <w:shd w:val="clear" w:color="auto" w:fill="F4F6F8"/>
          </w:tcPr>
          <w:p>
            <w:pPr>
              <w:jc w:val="center"/>
            </w:pPr>
            <w:r>
              <w:rPr>
                <w:rFonts w:ascii="Calibri" w:hAnsi="Calibri"/>
                <w:sz w:val="19"/>
              </w:rPr>
              <w:t>Taiwan</w:t>
            </w:r>
          </w:p>
        </w:tc>
        <w:tc>
          <w:tcPr>
            <w:tcW w:type="dxa" w:w="1512"/>
            <w:shd w:val="clear" w:color="auto" w:fill="F4F6F8"/>
          </w:tcPr>
          <w:p>
            <w:pPr>
              <w:jc w:val="center"/>
            </w:pPr>
            <w:r>
              <w:rPr>
                <w:rFonts w:ascii="Calibri" w:hAnsi="Calibri"/>
                <w:sz w:val="19"/>
              </w:rPr>
              <w:t>16%</w:t>
            </w:r>
          </w:p>
        </w:tc>
        <w:tc>
          <w:tcPr>
            <w:tcW w:type="dxa" w:w="1512"/>
            <w:shd w:val="clear" w:color="auto" w:fill="F4F6F8"/>
          </w:tcPr>
          <w:p>
            <w:pPr>
              <w:jc w:val="center"/>
            </w:pPr>
            <w:r>
              <w:rPr>
                <w:rFonts w:ascii="Calibri" w:hAnsi="Calibri"/>
                <w:sz w:val="19"/>
              </w:rPr>
              <w:t>15.8x</w:t>
            </w:r>
          </w:p>
        </w:tc>
        <w:tc>
          <w:tcPr>
            <w:tcW w:type="dxa" w:w="1512"/>
            <w:shd w:val="clear" w:color="auto" w:fill="F4F6F8"/>
          </w:tcPr>
          <w:p>
            <w:pPr>
              <w:jc w:val="center"/>
            </w:pPr>
            <w:r>
              <w:rPr>
                <w:rFonts w:ascii="Calibri" w:hAnsi="Calibri"/>
                <w:sz w:val="19"/>
              </w:rPr>
              <w:t>17.2x</w:t>
            </w:r>
          </w:p>
        </w:tc>
        <w:tc>
          <w:tcPr>
            <w:tcW w:type="dxa" w:w="1512"/>
            <w:shd w:val="clear" w:color="auto" w:fill="F4F6F8"/>
          </w:tcPr>
          <w:p>
            <w:pPr>
              <w:jc w:val="center"/>
            </w:pPr>
            <w:r>
              <w:rPr>
                <w:rFonts w:ascii="Calibri" w:hAnsi="Calibri"/>
                <w:sz w:val="19"/>
              </w:rPr>
              <w:t>-8%</w:t>
            </w:r>
          </w:p>
        </w:tc>
        <w:tc>
          <w:tcPr>
            <w:tcW w:type="dxa" w:w="1512"/>
            <w:shd w:val="clear" w:color="auto" w:fill="F4F6F8"/>
          </w:tcPr>
          <w:p>
            <w:pPr>
              <w:jc w:val="center"/>
            </w:pPr>
            <w:r>
              <w:rPr>
                <w:rFonts w:ascii="Calibri" w:hAnsi="Calibri"/>
                <w:sz w:val="19"/>
              </w:rPr>
              <w:t>+12%</w:t>
            </w:r>
          </w:p>
        </w:tc>
      </w:tr>
      <w:tr>
        <w:tc>
          <w:tcPr>
            <w:tcW w:type="dxa" w:w="1512"/>
            <w:shd w:val="clear" w:color="auto" w:fill="FFFFFF"/>
          </w:tcPr>
          <w:p>
            <w:pPr>
              <w:jc w:val="center"/>
            </w:pPr>
            <w:r>
              <w:rPr>
                <w:rFonts w:ascii="Calibri" w:hAnsi="Calibri"/>
                <w:sz w:val="19"/>
              </w:rPr>
              <w:t>South Korea</w:t>
            </w:r>
          </w:p>
        </w:tc>
        <w:tc>
          <w:tcPr>
            <w:tcW w:type="dxa" w:w="1512"/>
            <w:shd w:val="clear" w:color="auto" w:fill="FFFFFF"/>
          </w:tcPr>
          <w:p>
            <w:pPr>
              <w:jc w:val="center"/>
            </w:pPr>
            <w:r>
              <w:rPr>
                <w:rFonts w:ascii="Calibri" w:hAnsi="Calibri"/>
                <w:sz w:val="19"/>
              </w:rPr>
              <w:t>11%</w:t>
            </w:r>
          </w:p>
        </w:tc>
        <w:tc>
          <w:tcPr>
            <w:tcW w:type="dxa" w:w="1512"/>
            <w:shd w:val="clear" w:color="auto" w:fill="FFFFFF"/>
          </w:tcPr>
          <w:p>
            <w:pPr>
              <w:jc w:val="center"/>
            </w:pPr>
            <w:r>
              <w:rPr>
                <w:rFonts w:ascii="Calibri" w:hAnsi="Calibri"/>
                <w:sz w:val="19"/>
              </w:rPr>
              <w:t>9.8x</w:t>
            </w:r>
          </w:p>
        </w:tc>
        <w:tc>
          <w:tcPr>
            <w:tcW w:type="dxa" w:w="1512"/>
            <w:shd w:val="clear" w:color="auto" w:fill="FFFFFF"/>
          </w:tcPr>
          <w:p>
            <w:pPr>
              <w:jc w:val="center"/>
            </w:pPr>
            <w:r>
              <w:rPr>
                <w:rFonts w:ascii="Calibri" w:hAnsi="Calibri"/>
                <w:sz w:val="19"/>
              </w:rPr>
              <w:t>12.1x</w:t>
            </w:r>
          </w:p>
        </w:tc>
        <w:tc>
          <w:tcPr>
            <w:tcW w:type="dxa" w:w="1512"/>
            <w:shd w:val="clear" w:color="auto" w:fill="FFFFFF"/>
          </w:tcPr>
          <w:p>
            <w:pPr>
              <w:jc w:val="center"/>
            </w:pPr>
            <w:r>
              <w:rPr>
                <w:rFonts w:ascii="Calibri" w:hAnsi="Calibri"/>
                <w:sz w:val="19"/>
              </w:rPr>
              <w:t>-19%</w:t>
            </w:r>
          </w:p>
        </w:tc>
        <w:tc>
          <w:tcPr>
            <w:tcW w:type="dxa" w:w="1512"/>
            <w:shd w:val="clear" w:color="auto" w:fill="FFFFFF"/>
          </w:tcPr>
          <w:p>
            <w:pPr>
              <w:jc w:val="center"/>
            </w:pPr>
            <w:r>
              <w:rPr>
                <w:rFonts w:ascii="Calibri" w:hAnsi="Calibri"/>
                <w:sz w:val="19"/>
              </w:rPr>
              <w:t>+7%</w:t>
            </w:r>
          </w:p>
        </w:tc>
      </w:tr>
      <w:tr>
        <w:tc>
          <w:tcPr>
            <w:tcW w:type="dxa" w:w="1512"/>
            <w:shd w:val="clear" w:color="auto" w:fill="F4F6F8"/>
          </w:tcPr>
          <w:p>
            <w:pPr>
              <w:jc w:val="center"/>
            </w:pPr>
            <w:r>
              <w:rPr>
                <w:rFonts w:ascii="Calibri" w:hAnsi="Calibri"/>
                <w:sz w:val="19"/>
              </w:rPr>
              <w:t>Brazil</w:t>
            </w:r>
          </w:p>
        </w:tc>
        <w:tc>
          <w:tcPr>
            <w:tcW w:type="dxa" w:w="1512"/>
            <w:shd w:val="clear" w:color="auto" w:fill="F4F6F8"/>
          </w:tcPr>
          <w:p>
            <w:pPr>
              <w:jc w:val="center"/>
            </w:pPr>
            <w:r>
              <w:rPr>
                <w:rFonts w:ascii="Calibri" w:hAnsi="Calibri"/>
                <w:sz w:val="19"/>
              </w:rPr>
              <w:t>5%</w:t>
            </w:r>
          </w:p>
        </w:tc>
        <w:tc>
          <w:tcPr>
            <w:tcW w:type="dxa" w:w="1512"/>
            <w:shd w:val="clear" w:color="auto" w:fill="F4F6F8"/>
          </w:tcPr>
          <w:p>
            <w:pPr>
              <w:jc w:val="center"/>
            </w:pPr>
            <w:r>
              <w:rPr>
                <w:rFonts w:ascii="Calibri" w:hAnsi="Calibri"/>
                <w:sz w:val="19"/>
              </w:rPr>
              <w:t>7.2x</w:t>
            </w:r>
          </w:p>
        </w:tc>
        <w:tc>
          <w:tcPr>
            <w:tcW w:type="dxa" w:w="1512"/>
            <w:shd w:val="clear" w:color="auto" w:fill="F4F6F8"/>
          </w:tcPr>
          <w:p>
            <w:pPr>
              <w:jc w:val="center"/>
            </w:pPr>
            <w:r>
              <w:rPr>
                <w:rFonts w:ascii="Calibri" w:hAnsi="Calibri"/>
                <w:sz w:val="19"/>
              </w:rPr>
              <w:t>10.1x</w:t>
            </w:r>
          </w:p>
        </w:tc>
        <w:tc>
          <w:tcPr>
            <w:tcW w:type="dxa" w:w="1512"/>
            <w:shd w:val="clear" w:color="auto" w:fill="F4F6F8"/>
          </w:tcPr>
          <w:p>
            <w:pPr>
              <w:jc w:val="center"/>
            </w:pPr>
            <w:r>
              <w:rPr>
                <w:rFonts w:ascii="Calibri" w:hAnsi="Calibri"/>
                <w:sz w:val="19"/>
              </w:rPr>
              <w:t>-29%</w:t>
            </w:r>
          </w:p>
        </w:tc>
        <w:tc>
          <w:tcPr>
            <w:tcW w:type="dxa" w:w="1512"/>
            <w:shd w:val="clear" w:color="auto" w:fill="F4F6F8"/>
          </w:tcPr>
          <w:p>
            <w:pPr>
              <w:jc w:val="center"/>
            </w:pPr>
            <w:r>
              <w:rPr>
                <w:rFonts w:ascii="Calibri" w:hAnsi="Calibri"/>
                <w:sz w:val="19"/>
              </w:rPr>
              <w:t>+6%</w:t>
            </w:r>
          </w:p>
        </w:tc>
      </w:tr>
      <w:tr>
        <w:tc>
          <w:tcPr>
            <w:tcW w:type="dxa" w:w="1512"/>
            <w:shd w:val="clear" w:color="auto" w:fill="FFFFFF"/>
          </w:tcPr>
          <w:p>
            <w:pPr>
              <w:jc w:val="center"/>
            </w:pPr>
            <w:r>
              <w:rPr>
                <w:rFonts w:ascii="Calibri" w:hAnsi="Calibri"/>
                <w:sz w:val="19"/>
              </w:rPr>
              <w:t>Saudi Arabia</w:t>
            </w:r>
          </w:p>
        </w:tc>
        <w:tc>
          <w:tcPr>
            <w:tcW w:type="dxa" w:w="1512"/>
            <w:shd w:val="clear" w:color="auto" w:fill="FFFFFF"/>
          </w:tcPr>
          <w:p>
            <w:pPr>
              <w:jc w:val="center"/>
            </w:pPr>
            <w:r>
              <w:rPr>
                <w:rFonts w:ascii="Calibri" w:hAnsi="Calibri"/>
                <w:sz w:val="19"/>
              </w:rPr>
              <w:t>4%</w:t>
            </w:r>
          </w:p>
        </w:tc>
        <w:tc>
          <w:tcPr>
            <w:tcW w:type="dxa" w:w="1512"/>
            <w:shd w:val="clear" w:color="auto" w:fill="FFFFFF"/>
          </w:tcPr>
          <w:p>
            <w:pPr>
              <w:jc w:val="center"/>
            </w:pPr>
            <w:r>
              <w:rPr>
                <w:rFonts w:ascii="Calibri" w:hAnsi="Calibri"/>
                <w:sz w:val="19"/>
              </w:rPr>
              <w:t>17.5x</w:t>
            </w:r>
          </w:p>
        </w:tc>
        <w:tc>
          <w:tcPr>
            <w:tcW w:type="dxa" w:w="1512"/>
            <w:shd w:val="clear" w:color="auto" w:fill="FFFFFF"/>
          </w:tcPr>
          <w:p>
            <w:pPr>
              <w:jc w:val="center"/>
            </w:pPr>
            <w:r>
              <w:rPr>
                <w:rFonts w:ascii="Calibri" w:hAnsi="Calibri"/>
                <w:sz w:val="19"/>
              </w:rPr>
              <w:t>20.3x</w:t>
            </w:r>
          </w:p>
        </w:tc>
        <w:tc>
          <w:tcPr>
            <w:tcW w:type="dxa" w:w="1512"/>
            <w:shd w:val="clear" w:color="auto" w:fill="FFFFFF"/>
          </w:tcPr>
          <w:p>
            <w:pPr>
              <w:jc w:val="center"/>
            </w:pPr>
            <w:r>
              <w:rPr>
                <w:rFonts w:ascii="Calibri" w:hAnsi="Calibri"/>
                <w:sz w:val="19"/>
              </w:rPr>
              <w:t>-14%</w:t>
            </w:r>
          </w:p>
        </w:tc>
        <w:tc>
          <w:tcPr>
            <w:tcW w:type="dxa" w:w="1512"/>
            <w:shd w:val="clear" w:color="auto" w:fill="FFFFFF"/>
          </w:tcPr>
          <w:p>
            <w:pPr>
              <w:jc w:val="center"/>
            </w:pPr>
            <w:r>
              <w:rPr>
                <w:rFonts w:ascii="Calibri" w:hAnsi="Calibri"/>
                <w:sz w:val="19"/>
              </w:rPr>
              <w:t>+5%</w:t>
            </w:r>
          </w:p>
        </w:tc>
      </w:tr>
      <w:tr>
        <w:tc>
          <w:tcPr>
            <w:tcW w:type="dxa" w:w="1512"/>
            <w:shd w:val="clear" w:color="auto" w:fill="F4F6F8"/>
          </w:tcPr>
          <w:p>
            <w:pPr>
              <w:jc w:val="center"/>
            </w:pPr>
            <w:r>
              <w:rPr>
                <w:rFonts w:ascii="Calibri" w:hAnsi="Calibri"/>
                <w:sz w:val="19"/>
              </w:rPr>
              <w:t>Mexico</w:t>
            </w:r>
          </w:p>
        </w:tc>
        <w:tc>
          <w:tcPr>
            <w:tcW w:type="dxa" w:w="1512"/>
            <w:shd w:val="clear" w:color="auto" w:fill="F4F6F8"/>
          </w:tcPr>
          <w:p>
            <w:pPr>
              <w:jc w:val="center"/>
            </w:pPr>
            <w:r>
              <w:rPr>
                <w:rFonts w:ascii="Calibri" w:hAnsi="Calibri"/>
                <w:sz w:val="19"/>
              </w:rPr>
              <w:t>2%</w:t>
            </w:r>
          </w:p>
        </w:tc>
        <w:tc>
          <w:tcPr>
            <w:tcW w:type="dxa" w:w="1512"/>
            <w:shd w:val="clear" w:color="auto" w:fill="F4F6F8"/>
          </w:tcPr>
          <w:p>
            <w:pPr>
              <w:jc w:val="center"/>
            </w:pPr>
            <w:r>
              <w:rPr>
                <w:rFonts w:ascii="Calibri" w:hAnsi="Calibri"/>
                <w:sz w:val="19"/>
              </w:rPr>
              <w:t>11.4x</w:t>
            </w:r>
          </w:p>
        </w:tc>
        <w:tc>
          <w:tcPr>
            <w:tcW w:type="dxa" w:w="1512"/>
            <w:shd w:val="clear" w:color="auto" w:fill="F4F6F8"/>
          </w:tcPr>
          <w:p>
            <w:pPr>
              <w:jc w:val="center"/>
            </w:pPr>
            <w:r>
              <w:rPr>
                <w:rFonts w:ascii="Calibri" w:hAnsi="Calibri"/>
                <w:sz w:val="19"/>
              </w:rPr>
              <w:t>14.8x</w:t>
            </w:r>
          </w:p>
        </w:tc>
        <w:tc>
          <w:tcPr>
            <w:tcW w:type="dxa" w:w="1512"/>
            <w:shd w:val="clear" w:color="auto" w:fill="F4F6F8"/>
          </w:tcPr>
          <w:p>
            <w:pPr>
              <w:jc w:val="center"/>
            </w:pPr>
            <w:r>
              <w:rPr>
                <w:rFonts w:ascii="Calibri" w:hAnsi="Calibri"/>
                <w:sz w:val="19"/>
              </w:rPr>
              <w:t>-23%</w:t>
            </w:r>
          </w:p>
        </w:tc>
        <w:tc>
          <w:tcPr>
            <w:tcW w:type="dxa" w:w="1512"/>
            <w:shd w:val="clear" w:color="auto" w:fill="F4F6F8"/>
          </w:tcPr>
          <w:p>
            <w:pPr>
              <w:jc w:val="center"/>
            </w:pPr>
            <w:r>
              <w:rPr>
                <w:rFonts w:ascii="Calibri" w:hAnsi="Calibri"/>
                <w:sz w:val="19"/>
              </w:rPr>
              <w:t>+4%</w:t>
            </w:r>
          </w:p>
        </w:tc>
      </w:tr>
    </w:tbl>
    <w:p/>
    <w:p>
      <w:pPr>
        <w:spacing w:before="240" w:after="80"/>
        <w:pBdr>
          <w:bottom w:val="single" w:sz="4" w:color="2E86AB"/>
        </w:pBdr>
      </w:pPr>
      <w:r>
        <w:rPr>
          <w:rFonts w:ascii="Calibri" w:hAnsi="Calibri"/>
          <w:b/>
          <w:color w:val="0D1B2A"/>
          <w:sz w:val="24"/>
        </w:rPr>
        <w:t>Charts &amp; Visual Analysis</w:t>
      </w:r>
    </w:p>
    <w:p>
      <w:pPr>
        <w:spacing w:before="120" w:after="40"/>
        <w:jc w:val="center"/>
      </w:pPr>
      <w:r>
        <w:drawing>
          <wp:inline xmlns:a="http://schemas.openxmlformats.org/drawingml/2006/main" xmlns:pic="http://schemas.openxmlformats.org/drawingml/2006/picture">
            <wp:extent cx="5303520" cy="3061127"/>
            <wp:docPr id="1" name="Picture 1"/>
            <wp:cNvGraphicFramePr>
              <a:graphicFrameLocks noChangeAspect="1"/>
            </wp:cNvGraphicFramePr>
            <a:graphic>
              <a:graphicData uri="http://schemas.openxmlformats.org/drawingml/2006/picture">
                <pic:pic>
                  <pic:nvPicPr>
                    <pic:cNvPr id="0" name="memo04_a_dxy_em_scatter.png"/>
                    <pic:cNvPicPr/>
                  </pic:nvPicPr>
                  <pic:blipFill>
                    <a:blip r:embed="rId10"/>
                    <a:stretch>
                      <a:fillRect/>
                    </a:stretch>
                  </pic:blipFill>
                  <pic:spPr>
                    <a:xfrm>
                      <a:off x="0" y="0"/>
                      <a:ext cx="5303520" cy="3061127"/>
                    </a:xfrm>
                    <a:prstGeom prst="rect"/>
                  </pic:spPr>
                </pic:pic>
              </a:graphicData>
            </a:graphic>
          </wp:inline>
        </w:drawing>
      </w:r>
    </w:p>
    <w:p>
      <w:pPr>
        <w:spacing w:before="0" w:after="200"/>
        <w:jc w:val="center"/>
      </w:pPr>
      <w:r>
        <w:rPr>
          <w:rFonts w:ascii="Calibri" w:hAnsi="Calibri"/>
          <w:i/>
          <w:color w:val="4A5568"/>
          <w:sz w:val="18"/>
        </w:rPr>
        <w:t>Figure 1: DXY index level vs MSCI EM annual return 2007–2023. OLS R²=0.02 (weak linear fit in levels). Colour scale shows year. Qualitative inverse relationship holds around cycle peaks. Source: Bloomberg, MSCI.</w:t>
      </w:r>
    </w:p>
    <w:p>
      <w:pPr>
        <w:spacing w:before="120" w:after="40"/>
        <w:jc w:val="center"/>
      </w:pPr>
      <w:r>
        <w:drawing>
          <wp:inline xmlns:a="http://schemas.openxmlformats.org/drawingml/2006/main" xmlns:pic="http://schemas.openxmlformats.org/drawingml/2006/picture">
            <wp:extent cx="5303520" cy="3049134"/>
            <wp:docPr id="2" name="Picture 2"/>
            <wp:cNvGraphicFramePr>
              <a:graphicFrameLocks noChangeAspect="1"/>
            </wp:cNvGraphicFramePr>
            <a:graphic>
              <a:graphicData uri="http://schemas.openxmlformats.org/drawingml/2006/picture">
                <pic:pic>
                  <pic:nvPicPr>
                    <pic:cNvPr id="0" name="memo04_b_pe_discount_history.png"/>
                    <pic:cNvPicPr/>
                  </pic:nvPicPr>
                  <pic:blipFill>
                    <a:blip r:embed="rId11"/>
                    <a:stretch>
                      <a:fillRect/>
                    </a:stretch>
                  </pic:blipFill>
                  <pic:spPr>
                    <a:xfrm>
                      <a:off x="0" y="0"/>
                      <a:ext cx="5303520" cy="3049134"/>
                    </a:xfrm>
                    <a:prstGeom prst="rect"/>
                  </pic:spPr>
                </pic:pic>
              </a:graphicData>
            </a:graphic>
          </wp:inline>
        </w:drawing>
      </w:r>
    </w:p>
    <w:p>
      <w:pPr>
        <w:spacing w:before="0" w:after="200"/>
        <w:jc w:val="center"/>
      </w:pPr>
      <w:r>
        <w:rPr>
          <w:rFonts w:ascii="Calibri" w:hAnsi="Calibri"/>
          <w:i/>
          <w:color w:val="4A5568"/>
          <w:sz w:val="18"/>
        </w:rPr>
        <w:t>Figure 2: MSCI EM vs DM forward P/E discount — 20-year history. Current -37% near 2008-09 extreme; both prior extremes preceded multi-year EM outperformance. Source: Bloomberg, MSCI, FactSet.</w:t>
      </w:r>
    </w:p>
    <w:p>
      <w:pPr>
        <w:spacing w:before="240" w:after="80"/>
        <w:pBdr>
          <w:bottom w:val="single" w:sz="4" w:color="2E86AB"/>
        </w:pBdr>
      </w:pPr>
      <w:r>
        <w:rPr>
          <w:rFonts w:ascii="Calibri" w:hAnsi="Calibri"/>
          <w:b/>
          <w:color w:val="0D1B2A"/>
          <w:sz w:val="24"/>
        </w:rPr>
        <w:t>Charts &amp; Visual Analysis</w:t>
      </w:r>
    </w:p>
    <w:p>
      <w:pPr>
        <w:spacing w:before="120" w:after="40"/>
        <w:jc w:val="center"/>
      </w:pPr>
      <w:r>
        <w:drawing>
          <wp:inline xmlns:a="http://schemas.openxmlformats.org/drawingml/2006/main" xmlns:pic="http://schemas.openxmlformats.org/drawingml/2006/picture">
            <wp:extent cx="5303520" cy="3061127"/>
            <wp:docPr id="3" name="Picture 3"/>
            <wp:cNvGraphicFramePr>
              <a:graphicFrameLocks noChangeAspect="1"/>
            </wp:cNvGraphicFramePr>
            <a:graphic>
              <a:graphicData uri="http://schemas.openxmlformats.org/drawingml/2006/picture">
                <pic:pic>
                  <pic:nvPicPr>
                    <pic:cNvPr id="0" name="memo04_a_dxy_em_scatter.png"/>
                    <pic:cNvPicPr/>
                  </pic:nvPicPr>
                  <pic:blipFill>
                    <a:blip r:embed="rId12"/>
                    <a:stretch>
                      <a:fillRect/>
                    </a:stretch>
                  </pic:blipFill>
                  <pic:spPr>
                    <a:xfrm>
                      <a:off x="0" y="0"/>
                      <a:ext cx="5303520" cy="3061127"/>
                    </a:xfrm>
                    <a:prstGeom prst="rect"/>
                  </pic:spPr>
                </pic:pic>
              </a:graphicData>
            </a:graphic>
          </wp:inline>
        </w:drawing>
      </w:r>
    </w:p>
    <w:p>
      <w:pPr>
        <w:spacing w:before="0" w:after="200"/>
        <w:jc w:val="center"/>
      </w:pPr>
      <w:r>
        <w:rPr>
          <w:rFonts w:ascii="Calibri" w:hAnsi="Calibri"/>
          <w:i/>
          <w:color w:val="4A5568"/>
          <w:sz w:val="18"/>
        </w:rPr>
        <w:t>Figure 1: DXY index level vs MSCI EM annual return 2007–2023. OLS R²=0.02 (weak linear fit in levels). Colour scale shows year. Qualitative inverse relationship holds around cycle peaks. Source: Bloomberg, MSCI.</w:t>
      </w:r>
    </w:p>
    <w:p>
      <w:pPr>
        <w:spacing w:before="120" w:after="40"/>
        <w:jc w:val="center"/>
      </w:pPr>
      <w:r>
        <w:drawing>
          <wp:inline xmlns:a="http://schemas.openxmlformats.org/drawingml/2006/main" xmlns:pic="http://schemas.openxmlformats.org/drawingml/2006/picture">
            <wp:extent cx="5303520" cy="3049134"/>
            <wp:docPr id="4" name="Picture 4"/>
            <wp:cNvGraphicFramePr>
              <a:graphicFrameLocks noChangeAspect="1"/>
            </wp:cNvGraphicFramePr>
            <a:graphic>
              <a:graphicData uri="http://schemas.openxmlformats.org/drawingml/2006/picture">
                <pic:pic>
                  <pic:nvPicPr>
                    <pic:cNvPr id="0" name="memo04_b_pe_discount_history.png"/>
                    <pic:cNvPicPr/>
                  </pic:nvPicPr>
                  <pic:blipFill>
                    <a:blip r:embed="rId13"/>
                    <a:stretch>
                      <a:fillRect/>
                    </a:stretch>
                  </pic:blipFill>
                  <pic:spPr>
                    <a:xfrm>
                      <a:off x="0" y="0"/>
                      <a:ext cx="5303520" cy="3049134"/>
                    </a:xfrm>
                    <a:prstGeom prst="rect"/>
                  </pic:spPr>
                </pic:pic>
              </a:graphicData>
            </a:graphic>
          </wp:inline>
        </w:drawing>
      </w:r>
    </w:p>
    <w:p>
      <w:pPr>
        <w:spacing w:before="0" w:after="200"/>
        <w:jc w:val="center"/>
      </w:pPr>
      <w:r>
        <w:rPr>
          <w:rFonts w:ascii="Calibri" w:hAnsi="Calibri"/>
          <w:i/>
          <w:color w:val="4A5568"/>
          <w:sz w:val="18"/>
        </w:rPr>
        <w:t>Figure 2: MSCI EM vs DM forward P/E discount — 20-year history. Current -37% near 2008-09 extreme; both prior extremes preceded multi-year EM outperformance. Source: Bloomberg, MSCI, FactSet.</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6"/>
      </w:rPr>
      <w:t>Memo #4  ·  For educational purposes only — not investment advice  ·  Sources: Bloomberg, MSCI, IMF, FactSet, BofA Global Research, Goldman Sachs, PBoC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