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il"/>
              <w:left w:val="nil"/>
              <w:bottom w:val="nil"/>
              <w:right w:val="nil"/>
            </w:tcBorders>
            <w:shd w:fill="0D1F3C" w:val="clear"/>
            <w:tcMar>
              <w:top w:type="dxa" w:w="240"/>
              <w:left w:type="dxa" w:w="240"/>
              <w:bottom w:type="dxa" w:w="240"/>
              <w:right w:type="dxa" w:w="240"/>
            </w:tcMar>
          </w:tcPr>
          <w:p>
            <w:pPr>
              <w:jc w:val="center"/>
            </w:pPr>
            <w:r>
              <w:rPr>
                <w:rFonts w:ascii="Arial" w:cs="Arial" w:eastAsia="Arial" w:hAnsi="Arial"/>
                <w:b/>
                <w:bCs/>
                <w:color w:val="5A9FD4"/>
                <w:sz w:val="20"/>
                <w:szCs w:val="20"/>
              </w:rPr>
              <w:t xml:space="preserve">MEMO 04</w:t>
            </w:r>
          </w:p>
          <w:p>
            <w:pPr>
              <w:jc w:val="center"/>
            </w:pPr>
            <w:r>
              <w:rPr>
                <w:rFonts w:ascii="Arial" w:cs="Arial" w:eastAsia="Arial" w:hAnsi="Arial"/>
                <w:b/>
                <w:bCs/>
                <w:color w:val="FFFFFF"/>
                <w:sz w:val="28"/>
                <w:szCs w:val="28"/>
              </w:rPr>
              <w:t xml:space="preserve">Emerging Markets: A 20-Year Valuation Extreme,</w:t>
            </w:r>
          </w:p>
          <w:p>
            <w:pPr>
              <w:jc w:val="center"/>
            </w:pPr>
            <w:r>
              <w:rPr>
                <w:rFonts w:ascii="Arial" w:cs="Arial" w:eastAsia="Arial" w:hAnsi="Arial"/>
                <w:b/>
                <w:bCs/>
                <w:color w:val="FFFFFF"/>
                <w:sz w:val="28"/>
                <w:szCs w:val="28"/>
              </w:rPr>
              <w:t xml:space="preserve">a Turning Dollar, and a Positioning Reset</w:t>
            </w:r>
          </w:p>
          <w:p>
            <w:pPr>
              <w:spacing w:before="120"/>
              <w:jc w:val="center"/>
            </w:pPr>
            <w:r>
              <w:rPr>
                <w:rFonts w:ascii="Arial" w:cs="Arial" w:eastAsia="Arial" w:hAnsi="Arial"/>
                <w:b/>
                <w:bCs/>
                <w:color w:val="C8860A"/>
                <w:sz w:val="18"/>
                <w:szCs w:val="18"/>
              </w:rPr>
              <w:t xml:space="preserve">LONG EM vs DM — 12-24 MONTH TACTICAL  |  April 2026</w:t>
            </w:r>
          </w:p>
          <w:p>
            <w:pPr>
              <w:jc w:val="center"/>
            </w:pPr>
            <w:r>
              <w:rPr>
                <w:rFonts w:ascii="Arial" w:cs="Arial" w:eastAsia="Arial" w:hAnsi="Arial"/>
                <w:color w:val="8AAAC8"/>
                <w:sz w:val="15"/>
                <w:szCs w:val="15"/>
              </w:rPr>
              <w:t xml:space="preserve">Asset Class: EM Equities / Global Allocation  |  Sources: Bloomberg, MSCI, IMF, FactSet, BofA, EPFR Global</w:t>
            </w:r>
          </w:p>
        </w:tc>
      </w:tr>
    </w:tbl>
    <w:p>
      <w:pPr>
        <w:spacing w:after="6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c>
          <w:tcPr>
            <w:tcW w:type="dxa" w:w="3009"/>
            <w:tcBorders>
              <w:top w:val="single" w:color="CCCCCC" w:sz="1"/>
              <w:left w:val="single" w:color="CCCCCC" w:sz="1"/>
              <w:bottom w:val="single" w:color="CCCCCC" w:sz="1"/>
              <w:right w:val="single" w:color="CCCCCC" w:sz="1"/>
            </w:tcBorders>
            <w:shd w:fill="0D1F3C" w:val="clear"/>
            <w:tcMar>
              <w:top w:type="dxa" w:w="80"/>
              <w:left w:type="dxa" w:w="120"/>
              <w:bottom w:type="dxa" w:w="80"/>
              <w:right w:type="dxa" w:w="120"/>
            </w:tcMar>
          </w:tcPr>
          <w:p>
            <w:pPr>
              <w:jc w:val="center"/>
            </w:pPr>
            <w:r>
              <w:rPr>
                <w:rFonts w:ascii="Arial" w:cs="Arial" w:eastAsia="Arial" w:hAnsi="Arial"/>
                <w:b/>
                <w:bCs/>
                <w:color w:val="C8860A"/>
                <w:sz w:val="36"/>
                <w:szCs w:val="36"/>
              </w:rPr>
              <w:t xml:space="preserve">-37%</w:t>
            </w:r>
          </w:p>
        </w:tc>
        <w:tc>
          <w:tcPr>
            <w:tcW w:type="dxa" w:w="3009"/>
            <w:tcBorders>
              <w:top w:val="single" w:color="CCCCCC" w:sz="1"/>
              <w:left w:val="single" w:color="CCCCCC" w:sz="1"/>
              <w:bottom w:val="single" w:color="CCCCCC" w:sz="1"/>
              <w:right w:val="single" w:color="CCCCCC" w:sz="1"/>
            </w:tcBorders>
            <w:shd w:fill="0D1F3C" w:val="clear"/>
            <w:tcMar>
              <w:top w:type="dxa" w:w="80"/>
              <w:left w:type="dxa" w:w="120"/>
              <w:bottom w:type="dxa" w:w="80"/>
              <w:right w:type="dxa" w:w="120"/>
            </w:tcMar>
          </w:tcPr>
          <w:p>
            <w:pPr>
              <w:jc w:val="center"/>
            </w:pPr>
            <w:r>
              <w:rPr>
                <w:rFonts w:ascii="Arial" w:cs="Arial" w:eastAsia="Arial" w:hAnsi="Arial"/>
                <w:b/>
                <w:bCs/>
                <w:color w:val="1E6FA8"/>
                <w:sz w:val="36"/>
                <w:szCs w:val="36"/>
              </w:rPr>
              <w:t xml:space="preserve">12.5x</w:t>
            </w:r>
          </w:p>
        </w:tc>
        <w:tc>
          <w:tcPr>
            <w:tcW w:type="dxa" w:w="3009"/>
            <w:tcBorders>
              <w:top w:val="single" w:color="CCCCCC" w:sz="1"/>
              <w:left w:val="single" w:color="CCCCCC" w:sz="1"/>
              <w:bottom w:val="single" w:color="CCCCCC" w:sz="1"/>
              <w:right w:val="single" w:color="CCCCCC" w:sz="1"/>
            </w:tcBorders>
            <w:shd w:fill="0D1F3C" w:val="clear"/>
            <w:tcMar>
              <w:top w:type="dxa" w:w="80"/>
              <w:left w:type="dxa" w:w="120"/>
              <w:bottom w:type="dxa" w:w="80"/>
              <w:right w:type="dxa" w:w="120"/>
            </w:tcMar>
          </w:tcPr>
          <w:p>
            <w:pPr>
              <w:jc w:val="center"/>
            </w:pPr>
            <w:r>
              <w:rPr>
                <w:rFonts w:ascii="Arial" w:cs="Arial" w:eastAsia="Arial" w:hAnsi="Arial"/>
                <w:b/>
                <w:bCs/>
                <w:color w:val="2A7D4F"/>
                <w:sz w:val="36"/>
                <w:szCs w:val="36"/>
              </w:rPr>
              <w:t xml:space="preserve">+21%</w:t>
            </w:r>
          </w:p>
        </w:tc>
      </w:tr>
      <w:tr>
        <w:tc>
          <w:tcPr>
            <w:tcW w:type="dxa" w:w="3009"/>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pPr>
              <w:jc w:val="center"/>
            </w:pPr>
            <w:r>
              <w:rPr>
                <w:rFonts w:ascii="Arial" w:cs="Arial" w:eastAsia="Arial" w:hAnsi="Arial"/>
                <w:color w:val="B0C4DE"/>
                <w:sz w:val="16"/>
                <w:szCs w:val="16"/>
              </w:rPr>
              <w:t xml:space="preserve">MSCI EM discount to DM fwd P/E
(20yr avg: -22%)</w:t>
            </w:r>
          </w:p>
        </w:tc>
        <w:tc>
          <w:tcPr>
            <w:tcW w:type="dxa" w:w="3009"/>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pPr>
              <w:jc w:val="center"/>
            </w:pPr>
            <w:r>
              <w:rPr>
                <w:rFonts w:ascii="Arial" w:cs="Arial" w:eastAsia="Arial" w:hAnsi="Arial"/>
                <w:color w:val="B0C4DE"/>
                <w:sz w:val="16"/>
                <w:szCs w:val="16"/>
              </w:rPr>
              <w:t xml:space="preserve">MSCI EM NTM P/E vs MSCI World 20x</w:t>
            </w:r>
          </w:p>
        </w:tc>
        <w:tc>
          <w:tcPr>
            <w:tcW w:type="dxa" w:w="3009"/>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pPr>
              <w:jc w:val="center"/>
            </w:pPr>
            <w:r>
              <w:rPr>
                <w:rFonts w:ascii="Arial" w:cs="Arial" w:eastAsia="Arial" w:hAnsi="Arial"/>
                <w:color w:val="B0C4DE"/>
                <w:sz w:val="16"/>
                <w:szCs w:val="16"/>
              </w:rPr>
              <w:t xml:space="preserve">Avg EM outperf 12m post DXY cycle peak</w:t>
            </w:r>
          </w:p>
        </w:tc>
      </w:tr>
    </w:tbl>
    <w:p>
      <w:pPr>
        <w:spacing w:after="60" w:before="200"/>
      </w:pPr>
    </w:p>
    <w:p>
      <w:pPr>
        <w:pBdr>
          <w:bottom w:val="single" w:color="1E6FA8" w:sz="4" w:space="4"/>
        </w:pBdr>
        <w:spacing w:after="120" w:before="280"/>
      </w:pPr>
      <w:r>
        <w:rPr>
          <w:rFonts w:ascii="Arial" w:cs="Arial" w:eastAsia="Arial" w:hAnsi="Arial"/>
          <w:b/>
          <w:bCs/>
          <w:color w:val="0D1F3C"/>
          <w:sz w:val="24"/>
          <w:szCs w:val="24"/>
        </w:rPr>
        <w:t xml:space="preserve">Overview</w:t>
      </w:r>
    </w:p>
    <w:p>
      <w:pPr>
        <w:spacing w:after="120" w:before="80"/>
      </w:pPr>
      <w:r>
        <w:rPr>
          <w:rFonts w:ascii="Arial" w:cs="Arial" w:eastAsia="Arial" w:hAnsi="Arial"/>
          <w:color w:val="222222"/>
          <w:sz w:val="18"/>
          <w:szCs w:val="18"/>
        </w:rPr>
        <w:t xml:space="preserve">MSCI EM trades at 12.5x forward P/E. MSCI World trades at 20x. That 37% discount is near its widest in 20 years. The only times the gap was larger were 2008-09 and 2002-03, and both preceded multi-year EM outperformance. The macro setup adds to the case: the DXY has broken below 102 for the first time since early 2022, the Fed is cutting, and EM central banks are already further advanced in their easing cycles. Capital flows are still running against EM at historically high rates. That is what keeps the discount open and also what creates the reversal trade.</w:t>
      </w:r>
    </w:p>
    <w:p>
      <w:pPr>
        <w:pBdr>
          <w:bottom w:val="single" w:color="1E6FA8" w:sz="4" w:space="4"/>
        </w:pBdr>
        <w:spacing w:after="120" w:before="280"/>
      </w:pPr>
      <w:r>
        <w:rPr>
          <w:rFonts w:ascii="Arial" w:cs="Arial" w:eastAsia="Arial" w:hAnsi="Arial"/>
          <w:b/>
          <w:bCs/>
          <w:color w:val="0D1F3C"/>
          <w:sz w:val="24"/>
          <w:szCs w:val="24"/>
        </w:rPr>
        <w:t xml:space="preserve">Investment Thesis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tcBorders>
              <w:top w:val="single" w:color="CCCCCC" w:sz="1"/>
              <w:left w:val="single" w:color="CCCCCC" w:sz="1"/>
              <w:bottom w:val="single" w:color="CCCCCC" w:sz="1"/>
              <w:right w:val="single" w:color="CCCCCC" w:sz="1"/>
            </w:tcBorders>
            <w:shd w:fill="0D1F3C" w:val="clear"/>
            <w:tcMar>
              <w:top w:type="dxa" w:w="80"/>
              <w:left w:type="dxa" w:w="120"/>
              <w:bottom w:type="dxa" w:w="80"/>
              <w:right w:type="dxa" w:w="120"/>
            </w:tcMar>
          </w:tcPr>
          <w:p>
            <w:r>
              <w:rPr>
                <w:rFonts w:ascii="Arial" w:cs="Arial" w:eastAsia="Arial" w:hAnsi="Arial"/>
                <w:b/>
                <w:bCs/>
                <w:color w:val="FFFFFF"/>
                <w:sz w:val="18"/>
                <w:szCs w:val="18"/>
              </w:rPr>
              <w:t xml:space="preserve">Pillar</w:t>
            </w:r>
          </w:p>
        </w:tc>
        <w:tc>
          <w:tcPr>
            <w:tcW w:type="dxa" w:w="6526"/>
            <w:tcBorders>
              <w:top w:val="single" w:color="CCCCCC" w:sz="1"/>
              <w:left w:val="single" w:color="CCCCCC" w:sz="1"/>
              <w:bottom w:val="single" w:color="CCCCCC" w:sz="1"/>
              <w:right w:val="single" w:color="CCCCCC" w:sz="1"/>
            </w:tcBorders>
            <w:shd w:fill="0D1F3C" w:val="clear"/>
            <w:tcMar>
              <w:top w:type="dxa" w:w="80"/>
              <w:left w:type="dxa" w:w="120"/>
              <w:bottom w:type="dxa" w:w="80"/>
              <w:right w:type="dxa" w:w="120"/>
            </w:tcMar>
          </w:tcPr>
          <w:p>
            <w:r>
              <w:rPr>
                <w:rFonts w:ascii="Arial" w:cs="Arial" w:eastAsia="Arial" w:hAnsi="Arial"/>
                <w:b/>
                <w:bCs/>
                <w:color w:val="FFFFFF"/>
                <w:sz w:val="18"/>
                <w:szCs w:val="18"/>
              </w:rPr>
              <w:t xml:space="preserve">Summary</w:t>
            </w:r>
          </w:p>
        </w:tc>
      </w:tr>
      <w:tr>
        <w:tc>
          <w:tcPr>
            <w:tcW w:type="dxa" w:w="25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17"/>
                <w:szCs w:val="17"/>
              </w:rPr>
              <w:t xml:space="preserve">1. DXY is the primary return driver</w:t>
            </w:r>
          </w:p>
        </w:tc>
        <w:tc>
          <w:tcPr>
            <w:tcW w:type="dxa" w:w="6526"/>
            <w:tcBorders>
              <w:top w:val="single" w:color="CCCCCC" w:sz="1"/>
              <w:left w:val="single" w:color="CCCCCC" w:sz="1"/>
              <w:bottom w:val="single" w:color="CCCCCC" w:sz="1"/>
              <w:right w:val="single" w:color="CCCCCC" w:sz="1"/>
            </w:tcBorders>
            <w:shd w:fill="F5F6FA" w:val="clear"/>
            <w:tcMar>
              <w:top w:type="dxa" w:w="80"/>
              <w:left w:type="dxa" w:w="120"/>
              <w:bottom w:type="dxa" w:w="80"/>
              <w:right w:type="dxa" w:w="120"/>
            </w:tcMar>
          </w:tcPr>
          <w:p>
            <w:r>
              <w:rPr>
                <w:rFonts w:ascii="Arial" w:cs="Arial" w:eastAsia="Arial" w:hAnsi="Arial"/>
                <w:color w:val="222222"/>
                <w:sz w:val="17"/>
                <w:szCs w:val="17"/>
              </w:rPr>
              <w:t xml:space="preserve">OLS r-squared 0.42 (DXY vs MSCI EM, 2007-2025). A 10% DXY decline has corresponded to 20-25% EM USD return historically. Three channels: EM USD debt service relief, commodity price lift (priced in USD), and capital flow rotation out of dollar assets. The DXY at 100 is still 20 points above its 2008-2021 average.</w:t>
            </w:r>
          </w:p>
        </w:tc>
      </w:tr>
      <w:tr>
        <w:tc>
          <w:tcPr>
            <w:tcW w:type="dxa" w:w="2500"/>
            <w:tcBorders>
              <w:top w:val="single" w:color="CCCCCC" w:sz="1"/>
              <w:left w:val="single" w:color="CCCCCC" w:sz="1"/>
              <w:bottom w:val="single" w:color="CCCCCC" w:sz="1"/>
              <w:right w:val="single" w:color="CCCCCC" w:sz="1"/>
            </w:tcBorders>
            <w:shd w:fill="0D1F3C" w:val="clear"/>
            <w:tcMar>
              <w:top w:type="dxa" w:w="80"/>
              <w:left w:type="dxa" w:w="120"/>
              <w:bottom w:type="dxa" w:w="80"/>
              <w:right w:type="dxa" w:w="120"/>
            </w:tcMar>
          </w:tcPr>
          <w:p>
            <w:r>
              <w:rPr>
                <w:rFonts w:ascii="Arial" w:cs="Arial" w:eastAsia="Arial" w:hAnsi="Arial"/>
                <w:b/>
                <w:bCs/>
                <w:color w:val="FFFFFF"/>
                <w:sz w:val="17"/>
                <w:szCs w:val="17"/>
              </w:rPr>
              <w:t xml:space="preserve">2. The valuation discount is at a 20-year extreme</w:t>
            </w:r>
          </w:p>
        </w:tc>
        <w:tc>
          <w:tcPr>
            <w:tcW w:type="dxa" w:w="6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17"/>
                <w:szCs w:val="17"/>
              </w:rPr>
              <w:t xml:space="preserve">MSCI EM trades at 12.5x NTM P/E vs MSCI World at 20x, a 37% discount. The 20-year average discount is around 22%. Reverting to average implies roughly 29% P/E expansion for EM before any earnings or currency contribution. EM earnings growth is forecast at 9% for 2026-27 vs 7% for DM (IMF/FactSet). The fundamental picture is not the problem.</w:t>
            </w:r>
          </w:p>
        </w:tc>
      </w:tr>
      <w:tr>
        <w:tc>
          <w:tcPr>
            <w:tcW w:type="dxa" w:w="2500"/>
            <w:tcBorders>
              <w:top w:val="single" w:color="CCCCCC" w:sz="1"/>
              <w:left w:val="single" w:color="CCCCCC" w:sz="1"/>
              <w:bottom w:val="single" w:color="CCCCCC" w:sz="1"/>
              <w:right w:val="single" w:color="CCCCCC" w:sz="1"/>
            </w:tcBorders>
            <w:shd w:fill="1A3A5C" w:val="clear"/>
            <w:tcMar>
              <w:top w:type="dxa" w:w="80"/>
              <w:left w:type="dxa" w:w="120"/>
              <w:bottom w:type="dxa" w:w="80"/>
              <w:right w:type="dxa" w:w="120"/>
            </w:tcMar>
          </w:tcPr>
          <w:p>
            <w:r>
              <w:rPr>
                <w:rFonts w:ascii="Arial" w:cs="Arial" w:eastAsia="Arial" w:hAnsi="Arial"/>
                <w:b/>
                <w:bCs/>
                <w:color w:val="FFFFFF"/>
                <w:sz w:val="17"/>
                <w:szCs w:val="17"/>
              </w:rPr>
              <w:t xml:space="preserve">3. Positioning is at multi-decade lows</w:t>
            </w:r>
          </w:p>
        </w:tc>
        <w:tc>
          <w:tcPr>
            <w:tcW w:type="dxa" w:w="6526"/>
            <w:tcBorders>
              <w:top w:val="single" w:color="CCCCCC" w:sz="1"/>
              <w:left w:val="single" w:color="CCCCCC" w:sz="1"/>
              <w:bottom w:val="single" w:color="CCCCCC" w:sz="1"/>
              <w:right w:val="single" w:color="CCCCCC" w:sz="1"/>
            </w:tcBorders>
            <w:shd w:fill="F5F6FA" w:val="clear"/>
            <w:tcMar>
              <w:top w:type="dxa" w:w="80"/>
              <w:left w:type="dxa" w:w="120"/>
              <w:bottom w:type="dxa" w:w="80"/>
              <w:right w:type="dxa" w:w="120"/>
            </w:tcMar>
          </w:tcPr>
          <w:p>
            <w:r>
              <w:rPr>
                <w:rFonts w:ascii="Arial" w:cs="Arial" w:eastAsia="Arial" w:hAnsi="Arial"/>
                <w:color w:val="222222"/>
                <w:sz w:val="17"/>
                <w:szCs w:val="17"/>
              </w:rPr>
              <w:t xml:space="preserve">$450bn net flowed into US equity funds in 2023-24 vs roughly $28bn into EM equivalents (EPFR Global). BofA Fund Manager Survey shows EM allocations at the lowest level since 2001. When flows reverse from this starting point the price move tends to be faster than the underlying fundamentals imply, because it is moving from heavily underweight to neutral, not neutral to overweight.</w:t>
            </w:r>
          </w:p>
        </w:tc>
      </w:tr>
      <w:tr>
        <w:tc>
          <w:tcPr>
            <w:tcW w:type="dxa" w:w="2500"/>
            <w:tcBorders>
              <w:top w:val="single" w:color="CCCCCC" w:sz="1"/>
              <w:left w:val="single" w:color="CCCCCC" w:sz="1"/>
              <w:bottom w:val="single" w:color="CCCCCC" w:sz="1"/>
              <w:right w:val="single" w:color="CCCCCC" w:sz="1"/>
            </w:tcBorders>
            <w:shd w:fill="0D1F3C" w:val="clear"/>
            <w:tcMar>
              <w:top w:type="dxa" w:w="80"/>
              <w:left w:type="dxa" w:w="120"/>
              <w:bottom w:type="dxa" w:w="80"/>
              <w:right w:type="dxa" w:w="120"/>
            </w:tcMar>
          </w:tcPr>
          <w:p>
            <w:r>
              <w:rPr>
                <w:rFonts w:ascii="Arial" w:cs="Arial" w:eastAsia="Arial" w:hAnsi="Arial"/>
                <w:b/>
                <w:bCs/>
                <w:color w:val="FFFFFF"/>
                <w:sz w:val="17"/>
                <w:szCs w:val="17"/>
              </w:rPr>
              <w:t xml:space="preserve">4. China stimulus is the most comprehensive since 2016</w:t>
            </w:r>
          </w:p>
        </w:tc>
        <w:tc>
          <w:tcPr>
            <w:tcW w:type="dxa" w:w="6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17"/>
                <w:szCs w:val="17"/>
              </w:rPr>
              <w:t xml:space="preserve">50bp RRR cut, property sector support packages, fiscal deficit widening to 3.8% of GDP. China is 30% of the MSCI EM index. China manufacturing PMI has been above 50 for three consecutive months as of March 2026. PMI above 51 sustained for two months has historically corresponded to 8-12% MSCI EM returns over the following 12 months.</w:t>
            </w:r>
          </w:p>
        </w:tc>
      </w:tr>
    </w:tbl>
    <w:p>
      <w:pPr>
        <w:spacing w:after="60" w:before="200"/>
      </w:pPr>
    </w:p>
    <w:p>
      <w:pPr>
        <w:pBdr>
          <w:bottom w:val="single" w:color="1E6FA8" w:sz="4" w:space="4"/>
        </w:pBdr>
        <w:spacing w:after="120" w:before="280"/>
      </w:pPr>
      <w:r>
        <w:rPr>
          <w:rFonts w:ascii="Arial" w:cs="Arial" w:eastAsia="Arial" w:hAnsi="Arial"/>
          <w:b/>
          <w:bCs/>
          <w:color w:val="0D1F3C"/>
          <w:sz w:val="24"/>
          <w:szCs w:val="24"/>
        </w:rPr>
        <w:t xml:space="preserve">Market Context</w:t>
      </w:r>
    </w:p>
    <w:p>
      <w:pPr>
        <w:spacing w:after="80" w:before="80"/>
      </w:pPr>
      <w:r>
        <w:rPr>
          <w:rFonts w:ascii="Arial" w:cs="Arial" w:eastAsia="Arial" w:hAnsi="Arial"/>
          <w:color w:val="222222"/>
          <w:sz w:val="18"/>
          <w:szCs w:val="18"/>
        </w:rPr>
        <w:t xml:space="preserve">The numbers behind the discount: MSCI EM delivered a cumulative 38% return over 2018-2024 in USD terms vs 165% for the S&amp;P 500. That performance gap is not explained by earnings. EM aggregate EPS grew at roughly 6% pa over the same period vs 11% for the S&amp;P. The rest is multiple compression driven almost entirely by dollar appreciation and the mechanical flow dynamic of US equity index dominance.</w:t>
      </w:r>
    </w:p>
    <w:p>
      <w:pPr>
        <w:spacing w:after="80" w:before="80"/>
      </w:pPr>
      <w:r>
        <w:rPr>
          <w:rFonts w:ascii="Arial" w:cs="Arial" w:eastAsia="Arial" w:hAnsi="Arial"/>
          <w:color w:val="222222"/>
          <w:sz w:val="18"/>
          <w:szCs w:val="18"/>
        </w:rPr>
        <w:t xml:space="preserve">Country composition matters. MSCI EM is not a single bet. India (18% weight) trades at a premium to EM at 22x P/E but has structural GDP growth of 6-7%. China (27%) is cheap at 10x and improving on policy stimulus. Taiwan (17%) and Korea (13%) are sensitive to the tech cycle. Brazil, Indonesia, and South Africa are commodity-linked and lever directly to dollar movements. A 10% DXY decline lifts all of them, but through different mechanisms.</w:t>
      </w:r>
    </w:p>
    <w:p>
      <w:pPr>
        <w:spacing w:after="80" w:before="80"/>
      </w:pPr>
      <w:r>
        <w:rPr>
          <w:rFonts w:ascii="Arial" w:cs="Arial" w:eastAsia="Arial" w:hAnsi="Arial"/>
          <w:color w:val="222222"/>
          <w:sz w:val="18"/>
          <w:szCs w:val="18"/>
        </w:rPr>
        <w:t xml:space="preserve">The IMF projects EM GDP growth at 4.2% for 2026 vs 1.8% for advanced economies. The historical P/E premium EM has deserved on growth grounds has rarely been reflected in the actual multiple. That is the mean reversion argument: the discount exists despite the growth premium, not because of it.</w:t>
      </w:r>
    </w:p>
    <w:p>
      <w:pPr>
        <w:spacing w:after="60" w:before="200"/>
      </w:pPr>
    </w:p>
    <w:p>
      <w:pPr>
        <w:pBdr>
          <w:bottom w:val="single" w:color="1E6FA8" w:sz="4" w:space="4"/>
        </w:pBdr>
        <w:spacing w:after="120" w:before="280"/>
      </w:pPr>
      <w:r>
        <w:rPr>
          <w:rFonts w:ascii="Arial" w:cs="Arial" w:eastAsia="Arial" w:hAnsi="Arial"/>
          <w:b/>
          <w:bCs/>
          <w:color w:val="0D1F3C"/>
          <w:sz w:val="24"/>
          <w:szCs w:val="24"/>
        </w:rPr>
        <w:t xml:space="preserve">Catalysts</w:t>
      </w:r>
    </w:p>
    <w:p>
      <w:pPr>
        <w:spacing w:after="60" w:before="80"/>
      </w:pPr>
      <w:r>
        <w:rPr>
          <w:rFonts w:ascii="Arial" w:cs="Arial" w:eastAsia="Arial" w:hAnsi="Arial"/>
          <w:color w:val="222222"/>
          <w:sz w:val="18"/>
          <w:szCs w:val="18"/>
        </w:rPr>
        <w:t xml:space="preserve">Fed rate path and DXY continuation. Markets price 75bp of additional Fed cuts in 2026. Each 100bp of Fed easing has historically corresponded to a 10-14% DXY decline on a trade-weighted basis. A break below DXY 97 would be the first multi-year trend break since 2019 and would likely accelerate flow rotation.</w:t>
      </w:r>
    </w:p>
    <w:p>
      <w:pPr>
        <w:spacing w:after="60" w:before="60"/>
      </w:pPr>
      <w:r>
        <w:rPr>
          <w:rFonts w:ascii="Arial" w:cs="Arial" w:eastAsia="Arial" w:hAnsi="Arial"/>
          <w:color w:val="222222"/>
          <w:sz w:val="18"/>
          <w:szCs w:val="18"/>
        </w:rPr>
        <w:t xml:space="preserve">China PMI and earnings revision cycle. China PMI above 51 for two or more consecutive months has historically triggered upward EM EPS revisions across the board. At current depressed valuations, any positive revision cycle amplifies the re-rating: EM is priced for no growth, so any growth delivery is a positive surprise.</w:t>
      </w:r>
    </w:p>
    <w:p>
      <w:pPr>
        <w:spacing w:after="60" w:before="60"/>
      </w:pPr>
      <w:r>
        <w:rPr>
          <w:rFonts w:ascii="Arial" w:cs="Arial" w:eastAsia="Arial" w:hAnsi="Arial"/>
          <w:color w:val="222222"/>
          <w:sz w:val="18"/>
          <w:szCs w:val="18"/>
        </w:rPr>
        <w:t xml:space="preserve">EM debt refinancing relief. Roughly $280bn of EM sovereign USD-denominated debt matures in 2026-27 (JPMorgan). A weaker dollar and lower US rates reduce refinancing cost and free up fiscal space for investment. This reduces the tail risk of a sovereign stress event and removes a key bear case for the asset class.</w:t>
      </w:r>
    </w:p>
    <w:p>
      <w:pPr>
        <w:spacing w:after="80" w:before="60"/>
      </w:pPr>
      <w:r>
        <w:rPr>
          <w:rFonts w:ascii="Arial" w:cs="Arial" w:eastAsia="Arial" w:hAnsi="Arial"/>
          <w:color w:val="222222"/>
          <w:sz w:val="18"/>
          <w:szCs w:val="18"/>
        </w:rPr>
        <w:t xml:space="preserve">Institutional rebalancing from underweight. Pension funds and sovereign wealth funds running near-record EM underweights face rebalancing pressure if EM outperforms for two to three consecutive quarters. Mechanical rebalancing at this scale tends to amplify the trend.</w:t>
      </w:r>
    </w:p>
    <w:p>
      <w:pPr>
        <w:spacing w:after="60" w:before="200"/>
      </w:pPr>
    </w:p>
    <w:p>
      <w:r>
        <w:br w:type="page"/>
      </w:r>
    </w:p>
    <w:p>
      <w:pPr>
        <w:pBdr>
          <w:bottom w:val="single" w:color="1E6FA8" w:sz="4" w:space="4"/>
        </w:pBdr>
        <w:spacing w:after="120" w:before="280"/>
      </w:pPr>
      <w:r>
        <w:rPr>
          <w:rFonts w:ascii="Arial" w:cs="Arial" w:eastAsia="Arial" w:hAnsi="Arial"/>
          <w:b/>
          <w:bCs/>
          <w:color w:val="0D1F3C"/>
          <w:sz w:val="24"/>
          <w:szCs w:val="24"/>
        </w:rPr>
        <w:t xml:space="preserve">Key Risks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0D1F3C" w:val="clear"/>
            <w:tcMar>
              <w:top w:type="dxa" w:w="80"/>
              <w:left w:type="dxa" w:w="120"/>
              <w:bottom w:type="dxa" w:w="80"/>
              <w:right w:type="dxa" w:w="120"/>
            </w:tcMar>
          </w:tcPr>
          <w:p>
            <w:r>
              <w:rPr>
                <w:rFonts w:ascii="Arial" w:cs="Arial" w:eastAsia="Arial" w:hAnsi="Arial"/>
                <w:b/>
                <w:bCs/>
                <w:color w:val="FFFFFF"/>
                <w:sz w:val="18"/>
                <w:szCs w:val="18"/>
              </w:rPr>
              <w:t xml:space="preserve">Risk</w:t>
            </w:r>
          </w:p>
        </w:tc>
        <w:tc>
          <w:tcPr>
            <w:tcW w:type="dxa" w:w="6626"/>
            <w:tcBorders>
              <w:top w:val="single" w:color="CCCCCC" w:sz="1"/>
              <w:left w:val="single" w:color="CCCCCC" w:sz="1"/>
              <w:bottom w:val="single" w:color="CCCCCC" w:sz="1"/>
              <w:right w:val="single" w:color="CCCCCC" w:sz="1"/>
            </w:tcBorders>
            <w:shd w:fill="0D1F3C" w:val="clear"/>
            <w:tcMar>
              <w:top w:type="dxa" w:w="80"/>
              <w:left w:type="dxa" w:w="120"/>
              <w:bottom w:type="dxa" w:w="80"/>
              <w:right w:type="dxa" w:w="120"/>
            </w:tcMar>
          </w:tcPr>
          <w:p>
            <w:r>
              <w:rPr>
                <w:rFonts w:ascii="Arial" w:cs="Arial" w:eastAsia="Arial" w:hAnsi="Arial"/>
                <w:b/>
                <w:bCs/>
                <w:color w:val="FFFFFF"/>
                <w:sz w:val="18"/>
                <w:szCs w:val="18"/>
              </w:rPr>
              <w:t xml:space="preserve">Detail</w:t>
            </w:r>
          </w:p>
        </w:tc>
      </w:tr>
      <w:tr>
        <w:tc>
          <w:tcPr>
            <w:tcW w:type="dxa" w:w="2400"/>
            <w:tcBorders>
              <w:top w:val="single" w:color="CCCCCC" w:sz="1"/>
              <w:left w:val="single" w:color="CCCCCC" w:sz="1"/>
              <w:bottom w:val="single" w:color="CCCCCC" w:sz="1"/>
              <w:right w:val="single" w:color="CCCCCC" w:sz="1"/>
            </w:tcBorders>
            <w:shd w:fill="3A1010" w:val="clear"/>
            <w:tcMar>
              <w:top w:type="dxa" w:w="80"/>
              <w:left w:type="dxa" w:w="120"/>
              <w:bottom w:type="dxa" w:w="80"/>
              <w:right w:type="dxa" w:w="120"/>
            </w:tcMar>
          </w:tcPr>
          <w:p>
            <w:r>
              <w:rPr>
                <w:rFonts w:ascii="Arial" w:cs="Arial" w:eastAsia="Arial" w:hAnsi="Arial"/>
                <w:b/>
                <w:bCs/>
                <w:color w:val="FFAAAA"/>
                <w:sz w:val="17"/>
                <w:szCs w:val="17"/>
              </w:rPr>
              <w:t xml:space="preserve">USD strengthens on US exceptionalism</w:t>
            </w:r>
          </w:p>
        </w:tc>
        <w:tc>
          <w:tcPr>
            <w:tcW w:type="dxa" w:w="6626"/>
            <w:tcBorders>
              <w:top w:val="single" w:color="CCCCCC" w:sz="1"/>
              <w:left w:val="single" w:color="CCCCCC" w:sz="1"/>
              <w:bottom w:val="single" w:color="CCCCCC" w:sz="1"/>
              <w:right w:val="single" w:color="CCCCCC" w:sz="1"/>
            </w:tcBorders>
            <w:shd w:fill="F5F6FA" w:val="clear"/>
            <w:tcMar>
              <w:top w:type="dxa" w:w="80"/>
              <w:left w:type="dxa" w:w="120"/>
              <w:bottom w:type="dxa" w:w="80"/>
              <w:right w:type="dxa" w:w="120"/>
            </w:tcMar>
          </w:tcPr>
          <w:p>
            <w:r>
              <w:rPr>
                <w:rFonts w:ascii="Arial" w:cs="Arial" w:eastAsia="Arial" w:hAnsi="Arial"/>
                <w:color w:val="222222"/>
                <w:sz w:val="17"/>
                <w:szCs w:val="17"/>
              </w:rPr>
              <w:t xml:space="preserve">If US growth stays above trend and the Fed pauses, the DXY could rebound to 106-108, removing the primary catalyst. EM equities have tended to underperform DM by 15-20% during extended periods of DXY above 105.</w:t>
            </w:r>
          </w:p>
        </w:tc>
      </w:tr>
      <w:tr>
        <w:tc>
          <w:tcPr>
            <w:tcW w:type="dxa" w:w="2400"/>
            <w:tcBorders>
              <w:top w:val="single" w:color="CCCCCC" w:sz="1"/>
              <w:left w:val="single" w:color="CCCCCC" w:sz="1"/>
              <w:bottom w:val="single" w:color="CCCCCC" w:sz="1"/>
              <w:right w:val="single" w:color="CCCCCC" w:sz="1"/>
            </w:tcBorders>
            <w:shd w:fill="2A0C0C" w:val="clear"/>
            <w:tcMar>
              <w:top w:type="dxa" w:w="80"/>
              <w:left w:type="dxa" w:w="120"/>
              <w:bottom w:type="dxa" w:w="80"/>
              <w:right w:type="dxa" w:w="120"/>
            </w:tcMar>
          </w:tcPr>
          <w:p>
            <w:r>
              <w:rPr>
                <w:rFonts w:ascii="Arial" w:cs="Arial" w:eastAsia="Arial" w:hAnsi="Arial"/>
                <w:b/>
                <w:bCs/>
                <w:color w:val="FFAAAA"/>
                <w:sz w:val="17"/>
                <w:szCs w:val="17"/>
              </w:rPr>
              <w:t xml:space="preserve">China credit event</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17"/>
                <w:szCs w:val="17"/>
              </w:rPr>
              <w:t xml:space="preserve">Property sector stress is not fully resolved. A disorderly developer failure could trigger risk-off across EM broadly. China is 30% of the MSCI EM index so the index-level impact of a China shock is large.</w:t>
            </w:r>
          </w:p>
        </w:tc>
      </w:tr>
      <w:tr>
        <w:tc>
          <w:tcPr>
            <w:tcW w:type="dxa" w:w="2400"/>
            <w:tcBorders>
              <w:top w:val="single" w:color="CCCCCC" w:sz="1"/>
              <w:left w:val="single" w:color="CCCCCC" w:sz="1"/>
              <w:bottom w:val="single" w:color="CCCCCC" w:sz="1"/>
              <w:right w:val="single" w:color="CCCCCC" w:sz="1"/>
            </w:tcBorders>
            <w:shd w:fill="3A1010" w:val="clear"/>
            <w:tcMar>
              <w:top w:type="dxa" w:w="80"/>
              <w:left w:type="dxa" w:w="120"/>
              <w:bottom w:type="dxa" w:w="80"/>
              <w:right w:type="dxa" w:w="120"/>
            </w:tcMar>
          </w:tcPr>
          <w:p>
            <w:r>
              <w:rPr>
                <w:rFonts w:ascii="Arial" w:cs="Arial" w:eastAsia="Arial" w:hAnsi="Arial"/>
                <w:b/>
                <w:bCs/>
                <w:color w:val="FFAAAA"/>
                <w:sz w:val="17"/>
                <w:szCs w:val="17"/>
              </w:rPr>
              <w:t xml:space="preserve">Commodity demand destruction</w:t>
            </w:r>
          </w:p>
        </w:tc>
        <w:tc>
          <w:tcPr>
            <w:tcW w:type="dxa" w:w="6626"/>
            <w:tcBorders>
              <w:top w:val="single" w:color="CCCCCC" w:sz="1"/>
              <w:left w:val="single" w:color="CCCCCC" w:sz="1"/>
              <w:bottom w:val="single" w:color="CCCCCC" w:sz="1"/>
              <w:right w:val="single" w:color="CCCCCC" w:sz="1"/>
            </w:tcBorders>
            <w:shd w:fill="F5F6FA" w:val="clear"/>
            <w:tcMar>
              <w:top w:type="dxa" w:w="80"/>
              <w:left w:type="dxa" w:w="120"/>
              <w:bottom w:type="dxa" w:w="80"/>
              <w:right w:type="dxa" w:w="120"/>
            </w:tcMar>
          </w:tcPr>
          <w:p>
            <w:r>
              <w:rPr>
                <w:rFonts w:ascii="Arial" w:cs="Arial" w:eastAsia="Arial" w:hAnsi="Arial"/>
                <w:color w:val="222222"/>
                <w:sz w:val="17"/>
                <w:szCs w:val="17"/>
              </w:rPr>
              <w:t xml:space="preserve">EM commodity exporters (Brazil, South Africa, Indonesia) depend on global infrastructure demand. A sharp slowdown in capex would compress earnings for resource-heavy EM markets and offset valuation re-rating.</w:t>
            </w:r>
          </w:p>
        </w:tc>
      </w:tr>
      <w:tr>
        <w:tc>
          <w:tcPr>
            <w:tcW w:type="dxa" w:w="2400"/>
            <w:tcBorders>
              <w:top w:val="single" w:color="CCCCCC" w:sz="1"/>
              <w:left w:val="single" w:color="CCCCCC" w:sz="1"/>
              <w:bottom w:val="single" w:color="CCCCCC" w:sz="1"/>
              <w:right w:val="single" w:color="CCCCCC" w:sz="1"/>
            </w:tcBorders>
            <w:shd w:fill="2A0C0C" w:val="clear"/>
            <w:tcMar>
              <w:top w:type="dxa" w:w="80"/>
              <w:left w:type="dxa" w:w="120"/>
              <w:bottom w:type="dxa" w:w="80"/>
              <w:right w:type="dxa" w:w="120"/>
            </w:tcMar>
          </w:tcPr>
          <w:p>
            <w:r>
              <w:rPr>
                <w:rFonts w:ascii="Arial" w:cs="Arial" w:eastAsia="Arial" w:hAnsi="Arial"/>
                <w:b/>
                <w:bCs/>
                <w:color w:val="FFAAAA"/>
                <w:sz w:val="17"/>
                <w:szCs w:val="17"/>
              </w:rPr>
              <w:t xml:space="preserve">Geopolitical risk and governance</w:t>
            </w:r>
          </w:p>
        </w:tc>
        <w:tc>
          <w:tcPr>
            <w:tcW w:type="dxa" w:w="6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22222"/>
                <w:sz w:val="17"/>
                <w:szCs w:val="17"/>
              </w:rPr>
              <w:t xml:space="preserve">India-China border tension, Turkey monetary instability, Brazil election cycle risk. Country-level allocation matters more for EM than DM and index exposure cannot screen this out.</w:t>
            </w:r>
          </w:p>
        </w:tc>
      </w:tr>
    </w:tbl>
    <w:p>
      <w:pPr>
        <w:spacing w:after="60" w:before="200"/>
      </w:pPr>
    </w:p>
    <w:p>
      <w:pPr>
        <w:pBdr>
          <w:bottom w:val="single" w:color="1E6FA8" w:sz="4" w:space="4"/>
        </w:pBdr>
        <w:spacing w:after="120" w:before="280"/>
      </w:pPr>
      <w:r>
        <w:rPr>
          <w:rFonts w:ascii="Arial" w:cs="Arial" w:eastAsia="Arial" w:hAnsi="Arial"/>
          <w:b/>
          <w:bCs/>
          <w:color w:val="0D1F3C"/>
          <w:sz w:val="24"/>
          <w:szCs w:val="24"/>
        </w:rPr>
        <w:t xml:space="preserve">Conclusion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il"/>
              <w:left w:val="nil"/>
              <w:bottom w:val="nil"/>
              <w:right w:val="nil"/>
            </w:tcBorders>
            <w:shd w:fill="1A3A5C" w:val="clear"/>
            <w:tcMar>
              <w:top w:type="dxa" w:w="200"/>
              <w:left w:type="dxa" w:w="240"/>
              <w:bottom w:type="dxa" w:w="200"/>
              <w:right w:type="dxa" w:w="240"/>
            </w:tcMar>
          </w:tcPr>
          <w:p>
            <w:pPr>
              <w:spacing w:after="100"/>
            </w:pPr>
            <w:r>
              <w:rPr>
                <w:rFonts w:ascii="Arial" w:cs="Arial" w:eastAsia="Arial" w:hAnsi="Arial"/>
                <w:b/>
                <w:bCs/>
                <w:color w:val="FFFFFF"/>
                <w:sz w:val="20"/>
                <w:szCs w:val="20"/>
              </w:rPr>
              <w:t xml:space="preserve">Three things need to stay true. Only one is controversial.</w:t>
            </w:r>
          </w:p>
          <w:p>
            <w:r>
              <w:rPr>
                <w:rFonts w:ascii="Arial" w:cs="Arial" w:eastAsia="Arial" w:hAnsi="Arial"/>
                <w:color w:val="B0C4DE"/>
                <w:sz w:val="18"/>
                <w:szCs w:val="18"/>
              </w:rPr>
              <w:t xml:space="preserve">The valuation case is not in dispute: MSCI EM is near a 20-year discount extreme. The positioning case is not in dispute: EM allocations are near multi-decade lows. The only thing that is controversial is whether the dollar actually turns. The DXY has already broken 102. The Fed is cutting. Reversion from the current 37% discount to the 20-year average of 22% implies 29% P/E upside from multiple expansion alone, before currency or earnings. The position does not require China to grow faster than the US. It requires the dollar to stop appreciating.</w:t>
            </w:r>
          </w:p>
        </w:tc>
      </w:tr>
    </w:tbl>
    <w:p>
      <w:pPr>
        <w:spacing w:after="60" w:before="200"/>
      </w:pPr>
    </w:p>
    <w:p>
      <w:pPr>
        <w:pBdr>
          <w:bottom w:val="single" w:color="1E6FA8" w:sz="4" w:space="4"/>
        </w:pBdr>
        <w:spacing w:after="120" w:before="280"/>
      </w:pPr>
      <w:r>
        <w:rPr>
          <w:rFonts w:ascii="Arial" w:cs="Arial" w:eastAsia="Arial" w:hAnsi="Arial"/>
          <w:b/>
          <w:bCs/>
          <w:color w:val="0D1F3C"/>
          <w:sz w:val="24"/>
          <w:szCs w:val="24"/>
        </w:rPr>
        <w:t xml:space="preserve">Watch / Exit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c>
          <w:tcPr>
            <w:tcW w:type="dxa" w:w="1400"/>
            <w:tcBorders>
              <w:top w:val="single" w:color="CCCCCC" w:sz="1"/>
              <w:left w:val="single" w:color="CCCCCC" w:sz="1"/>
              <w:bottom w:val="single" w:color="CCCCCC" w:sz="1"/>
              <w:right w:val="single" w:color="CCCCCC" w:sz="1"/>
            </w:tcBorders>
            <w:shd w:fill="2A7D4F"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Watch
(add)</w:t>
            </w:r>
          </w:p>
        </w:tc>
        <w:tc>
          <w:tcPr>
            <w:tcW w:type="dxa" w:w="7626"/>
            <w:tcBorders>
              <w:top w:val="single" w:color="CCCCCC" w:sz="1"/>
              <w:left w:val="single" w:color="CCCCCC" w:sz="1"/>
              <w:bottom w:val="single" w:color="CCCCCC" w:sz="1"/>
              <w:right w:val="single" w:color="CCCCCC" w:sz="1"/>
            </w:tcBorders>
            <w:shd w:fill="EBF5EB" w:val="clear"/>
            <w:tcMar>
              <w:top w:type="dxa" w:w="80"/>
              <w:left w:type="dxa" w:w="120"/>
              <w:bottom w:type="dxa" w:w="80"/>
              <w:right w:type="dxa" w:w="120"/>
            </w:tcMar>
          </w:tcPr>
          <w:p>
            <w:r>
              <w:rPr>
                <w:rFonts w:ascii="Arial" w:cs="Arial" w:eastAsia="Arial" w:hAnsi="Arial"/>
                <w:color w:val="222222"/>
                <w:sz w:val="18"/>
                <w:szCs w:val="18"/>
              </w:rPr>
              <w:t xml:space="preserve">DXY break below 97 sustained / China PMI 51+ for 2 months / EM EPS revision ratio turns positive</w:t>
            </w:r>
          </w:p>
        </w:tc>
      </w:tr>
      <w:tr>
        <w:tc>
          <w:tcPr>
            <w:tcW w:type="dxa" w:w="1400"/>
            <w:tcBorders>
              <w:top w:val="single" w:color="CCCCCC" w:sz="1"/>
              <w:left w:val="single" w:color="CCCCCC" w:sz="1"/>
              <w:bottom w:val="single" w:color="CCCCCC" w:sz="1"/>
              <w:right w:val="single" w:color="CCCCCC" w:sz="1"/>
            </w:tcBorders>
            <w:shd w:fill="C0392B"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Exit</w:t>
            </w:r>
          </w:p>
        </w:tc>
        <w:tc>
          <w:tcPr>
            <w:tcW w:type="dxa" w:w="7626"/>
            <w:tcBorders>
              <w:top w:val="single" w:color="CCCCCC" w:sz="1"/>
              <w:left w:val="single" w:color="CCCCCC" w:sz="1"/>
              <w:bottom w:val="single" w:color="CCCCCC" w:sz="1"/>
              <w:right w:val="single" w:color="CCCCCC" w:sz="1"/>
            </w:tcBorders>
            <w:shd w:fill="FEF0EF" w:val="clear"/>
            <w:tcMar>
              <w:top w:type="dxa" w:w="80"/>
              <w:left w:type="dxa" w:w="120"/>
              <w:bottom w:type="dxa" w:w="80"/>
              <w:right w:type="dxa" w:w="120"/>
            </w:tcMar>
          </w:tcPr>
          <w:p>
            <w:r>
              <w:rPr>
                <w:rFonts w:ascii="Arial" w:cs="Arial" w:eastAsia="Arial" w:hAnsi="Arial"/>
                <w:color w:val="222222"/>
                <w:sz w:val="18"/>
                <w:szCs w:val="18"/>
              </w:rPr>
              <w:t xml:space="preserve">DXY rebounds above 108 on Fed pause / China property credit event / UST 10yr above 5.5% on sustained re-acceleration</w:t>
            </w:r>
          </w:p>
        </w:tc>
      </w:tr>
    </w:tbl>
    <w:p>
      <w:pPr>
        <w:spacing w:after="80" w:before="160"/>
      </w:pPr>
    </w:p>
    <w:p>
      <w:pPr>
        <w:pBdr>
          <w:bottom w:val="single" w:color="1E6FA8" w:sz="4" w:space="4"/>
        </w:pBdr>
        <w:spacing w:after="120" w:before="280"/>
      </w:pPr>
      <w:r>
        <w:rPr>
          <w:rFonts w:ascii="Arial" w:cs="Arial" w:eastAsia="Arial" w:hAnsi="Arial"/>
          <w:b/>
          <w:bCs/>
          <w:color w:val="0D1F3C"/>
          <w:sz w:val="24"/>
          <w:szCs w:val="24"/>
        </w:rPr>
        <w:t xml:space="preserve">Names</w:t>
      </w:r>
    </w:p>
    <w:p>
      <w:pPr>
        <w:spacing w:after="80" w:before="80"/>
      </w:pPr>
      <w:r>
        <w:rPr>
          <w:rFonts w:ascii="Arial" w:cs="Arial" w:eastAsia="Arial" w:hAnsi="Arial"/>
          <w:color w:val="222222"/>
          <w:sz w:val="18"/>
          <w:szCs w:val="18"/>
        </w:rPr>
        <w:t xml:space="preserve">EEM / VWO / FXI / EWZ / INDA / EEMS (small cap) / individual country ETFs</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pPr>
    <w:r>
      <w:rPr>
        <w:rFonts w:ascii="Arial" w:cs="Arial" w:eastAsia="Arial" w:hAnsi="Arial"/>
        <w:color w:val="888888"/>
        <w:sz w:val="16"/>
        <w:szCs w:val="16"/>
      </w:rPr>
      <w:t xml:space="preserve">Source: Bloomberg, MSCI, IMF, FactSet, BofA, EPFR Global  |  For research purposes only  |  Page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D1F3C" w:sz="4" w:space="4"/>
      </w:pBdr>
      <w:tabs>
        <w:tab w:val="right" w:pos="8026"/>
      </w:tabs>
    </w:pPr>
    <w:r>
      <w:rPr>
        <w:rFonts w:ascii="Arial" w:cs="Arial" w:eastAsia="Arial" w:hAnsi="Arial"/>
        <w:b/>
        <w:bCs/>
        <w:color w:val="0D1F3C"/>
        <w:sz w:val="18"/>
        <w:szCs w:val="18"/>
      </w:rPr>
      <w:t xml:space="preserve">MEMO 04 — EMERGING MARKETS</w:t>
    </w:r>
    <w:r>
      <w:rPr>
        <w:rFonts w:ascii="Arial" w:cs="Arial" w:eastAsia="Arial" w:hAnsi="Arial"/>
        <w:color w:val="888888"/>
        <w:sz w:val="16"/>
        <w:szCs w:val="16"/>
      </w:rPr>
      <w:t xml:space="preserve">	April 2026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2026-04-01T12:52:28.717Z</dcterms:created>
  <dcterms:modified xsi:type="dcterms:W3CDTF">2026-04-01T12:52:28.718Z</dcterms:modified>
</cp:coreProperties>
</file>

<file path=docProps/custom.xml><?xml version="1.0" encoding="utf-8"?>
<Properties xmlns="http://schemas.openxmlformats.org/officeDocument/2006/custom-properties" xmlns:vt="http://schemas.openxmlformats.org/officeDocument/2006/docPropsVTypes"/>
</file>