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</w:pPr>
      <w:r>
        <w:rPr>
          <w:rFonts w:ascii="Calibri" w:hAnsi="Calibri"/>
          <w:color w:val="4A5568"/>
          <w:sz w:val="18"/>
        </w:rPr>
        <w:t>SHORT MEMO 02  ·  Q1 2026</w:t>
      </w:r>
    </w:p>
    <w:p>
      <w:pPr>
        <w:spacing w:before="120" w:after="40"/>
      </w:pPr>
      <w:r>
        <w:rPr>
          <w:rFonts w:ascii="Calibri" w:hAnsi="Calibri"/>
          <w:b/>
          <w:color w:val="0D1B2A"/>
          <w:sz w:val="36"/>
        </w:rPr>
        <w:t>European Equities: Structural Discount or Opportunity Before Capital Rotation?</w:t>
      </w:r>
    </w:p>
    <w:p>
      <w:pPr>
        <w:spacing w:before="0" w:after="40"/>
      </w:pPr>
      <w:r>
        <w:rPr>
          <w:rFonts w:ascii="Calibri" w:hAnsi="Calibri"/>
          <w:color w:val="4A5568"/>
          <w:sz w:val="20"/>
        </w:rPr>
        <w:t xml:space="preserve">Sector: European Equities / Global Allocation  ·  Q1 2026  </w:t>
      </w:r>
      <w:r>
        <w:rPr>
          <w:rFonts w:ascii="Calibri" w:hAnsi="Calibri"/>
          <w:b/>
          <w:color w:val="1A7A40"/>
          <w:sz w:val="20"/>
        </w:rPr>
        <w:t>Re-rating catalyst building, record underweight at valuation extreme</w:t>
      </w:r>
    </w:p>
    <w:p>
      <w:pPr>
        <w:pBdr>
          <w:bottom w:val="single" w:sz="4" w:color="2E86AB"/>
        </w:pBdr>
        <w:spacing w:after="120"/>
      </w:pPr>
    </w:p>
    <w:p>
      <w:pPr>
        <w:spacing w:before="0" w:after="100"/>
      </w:pPr>
      <w:r>
        <w:rPr>
          <w:rFonts w:ascii="Calibri" w:hAnsi="Calibri"/>
          <w:i w:val="0"/>
          <w:sz w:val="21"/>
        </w:rPr>
        <w:t>MSCI Europe trades at a 38% forward P/E discount to the S&amp;P 500, close to historic extremes. About 60% of that gap is explained by index composition: the US carries 30% technology weighting versus Europe's 8%. The remaining discount is cyclical and mean-reverts. With fiscal regime shift and ECB easing underway, the backdrop is turning at the moment positioning is at record lows.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38%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€500bn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Record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MSCI Europe discount to S&amp;P 500</w:t>
              <w:br/>
              <w:t>forward P/E (20yr avg: ~15%)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German fiscal commitment</w:t>
              <w:br/>
              <w:t>(defence + infrastructure, Feb 2026)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Global fund mgr underweight of</w:t>
              <w:br/>
              <w:t>European equities (BofA FMS)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Investment Thesis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Historic valuation extreme:  </w:t>
      </w:r>
      <w:r>
        <w:rPr>
          <w:rFonts w:ascii="Calibri" w:hAnsi="Calibri"/>
          <w:sz w:val="21"/>
        </w:rPr>
        <w:t>MSCI Europe trades at 13x 2026E earnings versus the S&amp;P 500 at 21x. The 20-year average spread is around 15%. Europe is priced for structural decline. The asymmetry is significant if the discount mean-reverts even partially from current levels.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Discount is mechanically explained:  </w:t>
      </w:r>
      <w:r>
        <w:rPr>
          <w:rFonts w:ascii="Calibri" w:hAnsi="Calibri"/>
          <w:sz w:val="21"/>
        </w:rPr>
        <w:t>Around 60% of the P/E gap is attributable to index composition. The US carries 30% technology weighting versus 8% for Europe. Financials (18%) and Industrials (14%) dominate MSCI Europe, lower-multiple sectors by definition. Sector-adjusted, European equities trade closer to a 20% discount rather than 38%.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Re-rating thesis, not earnings thesis:  </w:t>
      </w:r>
      <w:r>
        <w:rPr>
          <w:rFonts w:ascii="Calibri" w:hAnsi="Calibri"/>
          <w:sz w:val="21"/>
        </w:rPr>
        <w:t>Europe does not need to outgrow the US. EPS revisions have inflected positively for the first time since 2022. A modest expectation reset from an extreme position drives material multiple expansion. That is the primary return driver..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Market Context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Capital flows have been self-reinforcing. Over $450bn net flowed into US equity ETFs in 2023-24 against roughly $28bn into European equivalents (BofA Global Research). Performance attracts flows; flows drive performance. This cycle has stretched European positioning to historic lows, creating conditions for reversal when the fundamental backdrop shifts.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US technology outperformance explains much of the headline discount, but equity duration matters. US tech is long-duration, cash flows priced far out, and most sensitive to rate changes. European cyclicals are short-duration. They benefit more when inflation stabilises and the rate cycle turns. The ECB is 100-150bps ahead of the Fed in cutting.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Rerating Catalysts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Fiscal regime break:  </w:t>
      </w:r>
      <w:r>
        <w:rPr>
          <w:rFonts w:ascii="Calibri" w:hAnsi="Calibri"/>
          <w:sz w:val="21"/>
        </w:rPr>
        <w:t>Germany's €500bn infrastructure and defence commitment ends the post-GFC fiscal austerity era, directly benefiting Industrials, Construction, and Defence, sectors where MSCI Europe is overweight relative to global indices.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Positioning reversal:  </w:t>
      </w:r>
      <w:r>
        <w:rPr>
          <w:rFonts w:ascii="Calibri" w:hAnsi="Calibri"/>
          <w:sz w:val="21"/>
        </w:rPr>
        <w:t>BofA FMS December 2025 showed a record global underweight of European equities. Any rebalancing toward historical allocation, even partial, creates a mechanical flow tailwind that is independent of fundamentals.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Narrative inflection:  </w:t>
      </w:r>
      <w:r>
        <w:rPr>
          <w:rFonts w:ascii="Calibri" w:hAnsi="Calibri"/>
          <w:sz w:val="21"/>
        </w:rPr>
        <w:t>As EPS revisions turn positive and fiscal spend becomes visible in earnings, the index narrative shifts from structural decline to cyclical recovery. Multiple expansion follows narrative changes, not just earnings.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Risks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Earnings growth differential:  </w:t>
      </w:r>
      <w:r>
        <w:rPr>
          <w:rFonts w:ascii="Calibri" w:hAnsi="Calibri"/>
          <w:sz w:val="21"/>
        </w:rPr>
        <w:t>If US technology sustains 15-20% annual EPS growth versus European 4-6%, the valuation gap is fundamentally justified. Re-rating is structurally capped without earnings convergence.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Trade war and tariff exposure:  </w:t>
      </w:r>
      <w:r>
        <w:rPr>
          <w:rFonts w:ascii="Calibri" w:hAnsi="Calibri"/>
          <w:sz w:val="21"/>
        </w:rPr>
        <w:t>US tariffs on European autos and industrials introduce direct earnings downside. German auto faces structural demand pressure from Chinese EV competition independently of tariffs.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EUR/USD headwind:  </w:t>
      </w:r>
      <w:r>
        <w:rPr>
          <w:rFonts w:ascii="Calibri" w:hAnsi="Calibri"/>
          <w:sz w:val="21"/>
        </w:rPr>
        <w:t>European returns for global investors are FX-dependent. A stronger dollar reduces USD returns from European allocations and dampens reallocation incentives.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Political execution risk:  </w:t>
      </w:r>
      <w:r>
        <w:rPr>
          <w:rFonts w:ascii="Calibri" w:hAnsi="Calibri"/>
          <w:sz w:val="21"/>
        </w:rPr>
        <w:t>€500bn German package requires coalition durability. French fiscal fragmentation and Italian debt remain systemic tail risks.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Conclusion</w:t>
      </w:r>
    </w:p>
    <w:p>
      <w:pPr>
        <w:spacing w:before="0" w:after="100"/>
      </w:pPr>
      <w:r>
        <w:rPr>
          <w:rFonts w:ascii="Calibri" w:hAnsi="Calibri"/>
          <w:i w:val="0"/>
          <w:color w:val="0D1B2A"/>
          <w:sz w:val="21"/>
        </w:rPr>
        <w:t>The bull case does not need European economic outperformance. It only needs expectations to stabilise from deeply depressed levels. A reversion to the 20-year average P/E spread (15% vs current 38%), with no earnings growth assumed, implies MSCI Europe re-rating from 13x to roughly 17x, approximately 30% upside from multiple expansion alone, before any earnings contribution.</w:t>
      </w:r>
    </w:p>
    <w:p>
      <w:pPr>
        <w:spacing w:before="160" w:after="60"/>
      </w:pPr>
      <w:r>
        <w:rPr>
          <w:rFonts w:ascii="Calibri" w:hAnsi="Calibri"/>
          <w:b/>
          <w:color w:val="1B4F72"/>
          <w:sz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Watch: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ECB rate path, German fiscal execution, BofA FMS European allocation.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Exit condition: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EPS revisions turn negative, or EUR/USD below 1.00 on sustained trade escalation.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Key names: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EZU  ·  ASML  ·  Siemens (SIE)  ·  Airbus (AIR)  ·  Deutsche Bank (DBK)</w:t>
            </w:r>
          </w:p>
        </w:tc>
      </w:tr>
    </w:tbl>
    <w:p>
      <w:r>
        <w:br w:type="page"/>
      </w:r>
    </w:p>
    <w:p/>
    <w:p>
      <w:pPr>
        <w:spacing w:before="200" w:after="80"/>
      </w:pPr>
      <w:r>
        <w:rPr>
          <w:rFonts w:ascii="Calibri" w:hAnsi="Calibri"/>
          <w:b/>
          <w:color w:val="0D1B2A"/>
          <w:sz w:val="24"/>
        </w:rPr>
        <w:t>Appendix: Quantitative Analysis</w:t>
      </w:r>
    </w:p>
    <w:p>
      <w:pPr>
        <w:spacing w:before="0" w:after="80"/>
      </w:pPr>
      <w:r>
        <w:rPr>
          <w:rFonts w:ascii="Calibri" w:hAnsi="Calibri"/>
          <w:i/>
          <w:color w:val="4A5568"/>
          <w:sz w:val="20"/>
        </w:rPr>
        <w:t>Python (statsmodels, numpy). Data: Bloomberg, MSCI, BofA Global Research 2000-2023.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1. OLS Regression: P/E Discount vs Subsequent Returns</w:t>
      </w:r>
    </w:p>
    <w:p>
      <w:pPr>
        <w:spacing w:before="0" w:after="80"/>
      </w:pPr>
      <w:r>
        <w:rPr>
          <w:rFonts w:ascii="Calibri" w:hAnsi="Calibri"/>
          <w:i w:val="0"/>
          <w:color w:val="B83232"/>
          <w:sz w:val="20"/>
        </w:rPr>
        <w:t>Model: MSCI Europe 12m forward return (%) = α + β × (Europe/US P/E discount %)</w:t>
        <w:br/>
        <w:t>Sample: 2000-2023 annual data (n=24). Note: R²=0.037, p=0.370, not statistically significant.</w:t>
        <w:br/>
        <w:t>Explanation: The relationship is noisy due to FX effects, GFC outliers, and varying sector composition. The more reliable argument is the scenario analysis below, not a direct linear extrapolation.</w:t>
      </w:r>
    </w:p>
    <w:p>
      <w:pPr>
        <w:spacing w:before="40" w:after="120"/>
        <w:ind w:left="432"/>
      </w:pPr>
      <w:r>
        <w:rPr>
          <w:rFonts w:ascii="Courier New" w:hAnsi="Courier New"/>
          <w:color w:val="1E1E1E"/>
          <w:sz w:val="18"/>
        </w:rPr>
        <w:t xml:space="preserve">                       OLS Regression Results</w:t>
        <w:br/>
        <w:t>================================================================</w:t>
        <w:br/>
        <w:t>Dep. Variable:  MSCI Europe 12m Return (%)  R-squared:  0.037</w:t>
        <w:br/>
        <w:t>Model:          OLS                          Adj. R²:   -0.007</w:t>
        <w:br/>
        <w:t>No. Obs:        24                           F-stat:     0.837</w:t>
        <w:br/>
        <w:t>Prob (F-stat):  0.370                        (not significant)</w:t>
        <w:br/>
        <w:t>----------------------------------------------------------------</w:t>
        <w:br/>
        <w:t xml:space="preserve">                coef    std err    t      P&gt;|t|</w:t>
        <w:br/>
        <w:t>----------------------------------------------------------------</w:t>
        <w:br/>
        <w:t>const          -0.291    9.814   -0.030   0.976</w:t>
        <w:br/>
        <w:t>P/E Disc (%)   -0.387    0.423   -0.915   0.370</w:t>
        <w:br/>
        <w:t>================================================================</w:t>
        <w:br/>
        <w:t>Pearson r = -0.191  |  p-value = 0.370  |  Not significant</w:t>
        <w:br/>
        <w:t>Note: weak regression argues for scenario approach rather than point estimate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The weak statistical relationship is expected and reflects a valid methodological point: P/E discounts can widen before they narrow, and the timing varies with macroeconomic cycles. The investment case rests on valuation extreme + macro catalyst (fiscal shift, ECB cuts) rather than a mechanical mean-reversion model alone.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2. Re-rating Scenario Analysis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Current MSCI Europe forward P/E: 13x. EPS growth assumption: +5% (consensus 2026E). S&amp;P 500 P/E: 21x. Target scenarios based on historical P/E discount range.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P/E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Implied Discount to US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P/E Upside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EPS (+5%)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No re-rating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13.0x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-38% (current)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0.0%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+5.0%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Minimal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-33%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+7.7%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+13.1%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Half revert (base)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15.0x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+15.4%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+21.2%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Full mean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17.0x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-19% (20yr avg)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+30.8%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+37.3%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Premium close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19.0x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+46.2%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+53.5%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3. Index Sector Composition: US vs Europe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Sector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S&amp;P 500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MSCI Europe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Difference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P/E Implication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Technology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30%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-22pp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High-multiple US drag on European discount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Financials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13%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 in European index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Industrials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+5pp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multiples; fiscal tailwind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Healthcare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Broadly neutral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Consumer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Neutral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Energy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Lower multiples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Approximately 60% of the 38% P/E discount is explained by sector composition alone. Sector-adjusted European equities trade closer to a 20% discount, which is still above the 20-year average composition-adjusted spread of ~12%.</w:t>
      </w:r>
    </w:p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pe_absolu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1: MSCI Europe Absolute Forward P/E (2005-2025)   |   Data: tab '2_PE_History' in memo-02-european-equities-data.xlsx   |   Generation code: Audit_Log tab in memo-02-european-equities-data.xlsx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681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pe_discount_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8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2: MSCI Europe / S&amp;P 500 Fwd P/E Ratio — 38% Discount   |   Data: tab '2_PE_History' in memo-02-european-equities-data.xlsx   |   Generation code: Audit_Log tab in memo-02-european-equities-data.xlsx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sector_com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3: Index Sector Composition: S&amp;P 500 vs MSCI Europe   |   Data: tab '3_Sector_Composition' in memo-02-european-equities-data.xlsx   |   Generation code: Audit_Log tab in memo-02-european-equities-data.xlsx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2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capital_flo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4: Annual Equity Fund Flows: US vs Europe (2019-2025)   |   Data: tab '6_Capital_Flows' in memo-02-european-equities-data.xlsx   |   Generation code: Audit_Log tab in memo-02-european-equities-data.xlsx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99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cumulative_flow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5: Cumulative Flow Divergence: US vs Europe (2019-2025)   |   Data: tab '6_Capital_Flows' in memo-02-european-equities-data.xlsx   |   Generation code: Audit_Log tab in memo-02-european-equities-data.xlsx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789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scenar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8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6: P/E Re-rating Scenario Returns (Entry 13x, EPS +5%)   |   Data: tab '5_Scenarios' in memo-02-european-equities-data.xlsx   |   Generation code: Audit_Log tab in memo-02-european-equities-data.xlsx</w:t>
      </w:r>
    </w:p>
    <w:p/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#2  ·  For educational purposes only — not investment advice  ·  Sources: Bloomberg, FactSet, BofA Global Research, MSCI, ECB,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