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color="0D1B2A"/>
        </w:pBdr>
      </w:pPr>
      <w:r>
        <w:rPr>
          <w:rFonts w:ascii="Calibri" w:hAnsi="Calibri"/>
          <w:color w:val="4A5568"/>
          <w:sz w:val="18"/>
        </w:rPr>
        <w:t>MEMO 05  ·  Q1 2026</w:t>
      </w:r>
    </w:p>
    <w:p>
      <w:pPr>
        <w:spacing w:before="120" w:after="40"/>
      </w:pPr>
      <w:r>
        <w:rPr>
          <w:rFonts w:ascii="Calibri" w:hAnsi="Calibri"/>
          <w:b/>
          <w:color w:val="0D1B2A"/>
          <w:sz w:val="36"/>
        </w:rPr>
        <w:t>Biotech and Life Sciences: Rate-Sensitive Discount + M&amp;A Cycle = Re-rating Case</w:t>
      </w:r>
    </w:p>
    <w:p>
      <w:pPr>
        <w:spacing w:before="0" w:after="40"/>
      </w:pPr>
      <w:r>
        <w:rPr>
          <w:rFonts w:ascii="Calibri" w:hAnsi="Calibri"/>
          <w:color w:val="4A5568"/>
          <w:sz w:val="20"/>
        </w:rPr>
        <w:t xml:space="preserve">Sector: Biotech / Healthcare  ·  Q1 2026  </w:t>
      </w:r>
      <w:r>
        <w:rPr>
          <w:rFonts w:ascii="Calibri" w:hAnsi="Calibri"/>
          <w:b/>
          <w:color w:val="1A7A40"/>
          <w:sz w:val="20"/>
        </w:rPr>
        <w:t>XBI re-rating thesis — valuation near cycle low, M&amp;A accelerating</w:t>
      </w:r>
    </w:p>
    <w:p>
      <w:pPr>
        <w:pBdr>
          <w:bottom w:val="single" w:sz="4" w:color="2E86AB"/>
        </w:pBdr>
        <w:spacing w:after="120"/>
      </w:pPr>
    </w:p>
    <w:p>
      <w:pPr>
        <w:spacing w:before="0" w:after="100"/>
      </w:pPr>
      <w:r>
        <w:rPr>
          <w:rFonts w:ascii="Calibri" w:hAnsi="Calibri"/>
          <w:i w:val="0"/>
          <w:sz w:val="21"/>
        </w:rPr>
        <w:t>The XBI biotech ETF trades at 5.5x NTM EV/Sales against a 10-year mean of 6.5x — a 15% discount that opened when rates rose sharply in 2022 and has not fully closed. Biotech is one of the most rate-sensitive equity sectors due to its cash-burning, long-duration revenue profile. The Fed cutting cycle is the primary re-rating trigger. M&amp;A activity is running at record levels, with large-cap pharma spending aggressively ahead of $300bn+ in patent cliff exposure through 2030.</w:t>
      </w:r>
    </w:p>
    <w:p>
      <w:pPr>
        <w:spacing w:before="160" w:after="60"/>
      </w:pPr>
      <w:r>
        <w:rPr>
          <w:rFonts w:ascii="Calibri" w:hAnsi="Calibri"/>
          <w:b/>
          <w:color w:val="0D1B2A"/>
          <w:sz w:val="24"/>
        </w:rPr>
        <w:t>Key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D1B2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C9993A"/>
                <w:sz w:val="36"/>
              </w:rPr>
              <w:t>5.5x</w:t>
            </w:r>
          </w:p>
        </w:tc>
        <w:tc>
          <w:tcPr>
            <w:tcW w:type="dxa" w:w="3024"/>
            <w:shd w:val="clear" w:color="auto" w:fill="0D1B2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C9993A"/>
                <w:sz w:val="36"/>
              </w:rPr>
              <w:t>$300bn+</w:t>
            </w:r>
          </w:p>
        </w:tc>
        <w:tc>
          <w:tcPr>
            <w:tcW w:type="dxa" w:w="3024"/>
            <w:shd w:val="clear" w:color="auto" w:fill="0D1B2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C9993A"/>
                <w:sz w:val="36"/>
              </w:rPr>
              <w:t>43</w:t>
            </w:r>
          </w:p>
        </w:tc>
      </w:tr>
      <w:tr>
        <w:tc>
          <w:tcPr>
            <w:tcW w:type="dxa" w:w="3024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XBI NTM EV/Sales</w:t>
              <w:br/>
              <w:t>(10yr mean: 6.5x)</w:t>
            </w:r>
          </w:p>
        </w:tc>
        <w:tc>
          <w:tcPr>
            <w:tcW w:type="dxa" w:w="3024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Large-cap pharma revenue at risk</w:t>
              <w:br/>
              <w:t>from patent cliffs 2025-30E</w:t>
            </w:r>
          </w:p>
        </w:tc>
        <w:tc>
          <w:tcPr>
            <w:tcW w:type="dxa" w:w="3024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FDA novel drug approvals in 2024</w:t>
              <w:br/>
              <w:t>(highest since 2021)</w:t>
            </w:r>
          </w:p>
        </w:tc>
      </w:tr>
    </w:tbl>
    <w:p>
      <w:pPr>
        <w:spacing w:before="0" w:after="160"/>
      </w:pPr>
    </w:p>
    <w:p>
      <w:pPr>
        <w:spacing w:before="160" w:after="60"/>
      </w:pPr>
      <w:r>
        <w:rPr>
          <w:rFonts w:ascii="Calibri" w:hAnsi="Calibri"/>
          <w:b/>
          <w:color w:val="0D1B2A"/>
          <w:sz w:val="24"/>
        </w:rPr>
        <w:t>Investment Thesis</w:t>
      </w:r>
    </w:p>
    <w:p>
      <w:pPr>
        <w:pStyle w:val="ListBullet"/>
        <w:spacing w:before="40" w:after="60"/>
        <w:ind w:left="360"/>
      </w:pPr>
      <w:r>
        <w:rPr>
          <w:rFonts w:ascii="Calibri" w:hAnsi="Calibri"/>
          <w:b/>
          <w:color w:val="0D1B2A"/>
          <w:sz w:val="21"/>
        </w:rPr>
        <w:t xml:space="preserve">Rate sensitivity creates an asymmetric entry:  </w:t>
      </w:r>
      <w:r>
        <w:rPr>
          <w:rFonts w:ascii="Calibri" w:hAnsi="Calibri"/>
          <w:sz w:val="21"/>
        </w:rPr>
        <w:t>Biotech revenue is priced at a deep discount rate due to its long duration. When rates were rising in 2022-23, the sector de-rated sharply. With the Fed now cutting, the reverse is mechanically true. A 100bps decline in the risk-free rate has historically driven a 1.5-2.0x turn expansion in biotech EV/Sales multiples.</w:t>
      </w:r>
    </w:p>
    <w:p>
      <w:pPr>
        <w:pStyle w:val="ListBullet"/>
        <w:spacing w:before="40" w:after="60"/>
        <w:ind w:left="360"/>
      </w:pPr>
      <w:r>
        <w:rPr>
          <w:rFonts w:ascii="Calibri" w:hAnsi="Calibri"/>
          <w:b/>
          <w:color w:val="0D1B2A"/>
          <w:sz w:val="21"/>
        </w:rPr>
        <w:t xml:space="preserve">Patent cliff drives strategic M&amp;A:  </w:t>
      </w:r>
      <w:r>
        <w:rPr>
          <w:rFonts w:ascii="Calibri" w:hAnsi="Calibri"/>
          <w:sz w:val="21"/>
        </w:rPr>
        <w:t>AbbVie loses Humira exclusivity; Bristol-Myers faces Revlid and Eliquis cliffs; Pfizer and Merck are collectively exposed to $300bn+ in revenues at risk through 2030. Each of these companies has the balance sheet to acquire and the strategic need to. Small and mid-cap biotech with Phase 2-3 assets are direct beneficiaries.</w:t>
      </w:r>
    </w:p>
    <w:p>
      <w:pPr>
        <w:pStyle w:val="ListBullet"/>
        <w:spacing w:before="40" w:after="60"/>
        <w:ind w:left="360"/>
      </w:pPr>
      <w:r>
        <w:rPr>
          <w:rFonts w:ascii="Calibri" w:hAnsi="Calibri"/>
          <w:b/>
          <w:color w:val="0D1B2A"/>
          <w:sz w:val="21"/>
        </w:rPr>
        <w:t xml:space="preserve">FDA approval activity recovering:  </w:t>
      </w:r>
      <w:r>
        <w:rPr>
          <w:rFonts w:ascii="Calibri" w:hAnsi="Calibri"/>
          <w:sz w:val="21"/>
        </w:rPr>
        <w:t>43 novel drugs approved in 2024, the highest since 2021. The pipeline is maturing from the surge in clinical-stage investment in 2020-21. More approvals mean more commercial-stage companies that can demonstrate revenue, closing the valuation discount.</w:t>
      </w:r>
    </w:p>
    <w:p>
      <w:pPr>
        <w:pStyle w:val="ListBullet"/>
        <w:spacing w:before="40" w:after="60"/>
        <w:ind w:left="360"/>
      </w:pPr>
      <w:r>
        <w:rPr>
          <w:rFonts w:ascii="Calibri" w:hAnsi="Calibri"/>
          <w:b/>
          <w:color w:val="0D1B2A"/>
          <w:sz w:val="21"/>
        </w:rPr>
        <w:t xml:space="preserve">Clinical risk is sector-wide, not systemic:  </w:t>
      </w:r>
      <w:r>
        <w:rPr>
          <w:rFonts w:ascii="Calibri" w:hAnsi="Calibri"/>
          <w:sz w:val="21"/>
        </w:rPr>
        <w:t>Biotech trial failures are stock-specific, not correlated across the index. At the ETF level, a basket approach captures the M&amp;A premium and multiple expansion without taking binary clinical risk on individual names.</w:t>
      </w:r>
    </w:p>
    <w:p>
      <w:pPr>
        <w:spacing w:before="160" w:after="60"/>
      </w:pPr>
      <w:r>
        <w:rPr>
          <w:rFonts w:ascii="Calibri" w:hAnsi="Calibri"/>
          <w:b/>
          <w:color w:val="0D1B2A"/>
          <w:sz w:val="24"/>
        </w:rPr>
        <w:t>Market Context</w:t>
      </w:r>
    </w:p>
    <w:p>
      <w:pPr>
        <w:spacing w:before="0" w:after="100"/>
      </w:pPr>
      <w:r>
        <w:rPr>
          <w:rFonts w:ascii="Calibri" w:hAnsi="Calibri"/>
          <w:i w:val="0"/>
          <w:sz w:val="21"/>
        </w:rPr>
        <w:t>The XBI has underperformed the S&amp;P 500 by roughly 40% from the 2021 peak through the 2022-23 rate-driven sell-off. This is consistent with what happens to long-duration assets in rising rate environments. The point is that the mechanism runs in reverse. Three of the five largest biotech acquisitions on record occurred in 2023-24, which tells you where large-cap pharma sees value.</w:t>
      </w:r>
    </w:p>
    <w:p>
      <w:pPr>
        <w:spacing w:before="0" w:after="100"/>
      </w:pPr>
      <w:r>
        <w:rPr>
          <w:rFonts w:ascii="Calibri" w:hAnsi="Calibri"/>
          <w:i w:val="0"/>
          <w:sz w:val="21"/>
        </w:rPr>
        <w:t>XBI at 5.5x EV/Sales against a 10-year mean of 6.5x represents a 15% discount that is difficult to justify on fundamentals alone when approval activity is recovering and M&amp;A premiums are running 40-60% to unaffected share prices. The sector re-rates when the risk-free rate declines and when M&amp;A deals increase the reference point for where small-cap biotech should trade.</w:t>
      </w:r>
    </w:p>
    <w:p>
      <w:pPr>
        <w:spacing w:before="160" w:after="60"/>
      </w:pPr>
      <w:r>
        <w:rPr>
          <w:rFonts w:ascii="Calibri" w:hAnsi="Calibri"/>
          <w:b/>
          <w:color w:val="0D1B2A"/>
          <w:sz w:val="24"/>
        </w:rPr>
        <w:t>Rerating Catalysts</w:t>
      </w:r>
    </w:p>
    <w:p>
      <w:pPr>
        <w:pStyle w:val="ListBullet"/>
        <w:spacing w:before="40" w:after="60"/>
        <w:ind w:left="360"/>
      </w:pPr>
      <w:r>
        <w:rPr>
          <w:rFonts w:ascii="Calibri" w:hAnsi="Calibri"/>
          <w:b/>
          <w:color w:val="0D1B2A"/>
          <w:sz w:val="21"/>
        </w:rPr>
        <w:t xml:space="preserve">Fed rate path:  </w:t>
      </w:r>
      <w:r>
        <w:rPr>
          <w:rFonts w:ascii="Calibri" w:hAnsi="Calibri"/>
          <w:sz w:val="21"/>
        </w:rPr>
        <w:t>Each 25bps cut reduces the discount rate applied to long-duration biotech revenue streams. The sector is more sensitive to rate changes than most equity categories, which makes it a direct beneficiary of the current cutting cycle.</w:t>
      </w:r>
    </w:p>
    <w:p>
      <w:pPr>
        <w:pStyle w:val="ListBullet"/>
        <w:spacing w:before="40" w:after="60"/>
        <w:ind w:left="360"/>
      </w:pPr>
      <w:r>
        <w:rPr>
          <w:rFonts w:ascii="Calibri" w:hAnsi="Calibri"/>
          <w:b/>
          <w:color w:val="0D1B2A"/>
          <w:sz w:val="21"/>
        </w:rPr>
        <w:t xml:space="preserve">M&amp;A premium flow-through:  </w:t>
      </w:r>
      <w:r>
        <w:rPr>
          <w:rFonts w:ascii="Calibri" w:hAnsi="Calibri"/>
          <w:sz w:val="21"/>
        </w:rPr>
        <w:t>Each acquisition at a 40-60% premium to market sets a new valuation floor for clinical-stage peers. The M&amp;A cycle is self-reinforcing: as pharma patent cliffs approach, the urgency to acquire increases.</w:t>
      </w:r>
    </w:p>
    <w:p>
      <w:pPr>
        <w:pStyle w:val="ListBullet"/>
        <w:spacing w:before="40" w:after="60"/>
        <w:ind w:left="360"/>
      </w:pPr>
      <w:r>
        <w:rPr>
          <w:rFonts w:ascii="Calibri" w:hAnsi="Calibri"/>
          <w:b/>
          <w:color w:val="0D1B2A"/>
          <w:sz w:val="21"/>
        </w:rPr>
        <w:t xml:space="preserve">FDA approval acceleration:  </w:t>
      </w:r>
      <w:r>
        <w:rPr>
          <w:rFonts w:ascii="Calibri" w:hAnsi="Calibri"/>
          <w:sz w:val="21"/>
        </w:rPr>
        <w:t>A continued pace of 40+ novel approvals annually would validate pipeline productivity and reduce the sector risk premium attached to pre-revenue companies.</w:t>
      </w:r>
    </w:p>
    <w:p>
      <w:pPr>
        <w:spacing w:before="160" w:after="60"/>
      </w:pPr>
      <w:r>
        <w:rPr>
          <w:rFonts w:ascii="Calibri" w:hAnsi="Calibri"/>
          <w:b/>
          <w:color w:val="0D1B2A"/>
          <w:sz w:val="24"/>
        </w:rPr>
        <w:t>Key Risks</w:t>
      </w:r>
    </w:p>
    <w:p>
      <w:pPr>
        <w:pStyle w:val="ListBullet"/>
        <w:spacing w:before="40" w:after="60"/>
        <w:ind w:left="360"/>
      </w:pPr>
      <w:r>
        <w:rPr>
          <w:rFonts w:ascii="Calibri" w:hAnsi="Calibri"/>
          <w:b/>
          <w:color w:val="0D1B2A"/>
          <w:sz w:val="21"/>
        </w:rPr>
        <w:t xml:space="preserve">Clinical failure concentration:  </w:t>
      </w:r>
      <w:r>
        <w:rPr>
          <w:rFonts w:ascii="Calibri" w:hAnsi="Calibri"/>
          <w:sz w:val="21"/>
        </w:rPr>
        <w:t>A cluster of Phase 3 failures in high-profile indications could reset the sector risk premium upward, reversing multiple expansion.</w:t>
      </w:r>
    </w:p>
    <w:p>
      <w:pPr>
        <w:pStyle w:val="ListBullet"/>
        <w:spacing w:before="40" w:after="60"/>
        <w:ind w:left="360"/>
      </w:pPr>
      <w:r>
        <w:rPr>
          <w:rFonts w:ascii="Calibri" w:hAnsi="Calibri"/>
          <w:b/>
          <w:color w:val="0D1B2A"/>
          <w:sz w:val="21"/>
        </w:rPr>
        <w:t xml:space="preserve">Drug pricing / IRA pressure:  </w:t>
      </w:r>
      <w:r>
        <w:rPr>
          <w:rFonts w:ascii="Calibri" w:hAnsi="Calibri"/>
          <w:sz w:val="21"/>
        </w:rPr>
        <w:t>The Inflation Reduction Act introduces Medicare drug price negotiation. Long-term pricing power compression would structurally lower the revenue multiples the sector can sustain.</w:t>
      </w:r>
    </w:p>
    <w:p>
      <w:pPr>
        <w:pStyle w:val="ListBullet"/>
        <w:spacing w:before="40" w:after="60"/>
        <w:ind w:left="360"/>
      </w:pPr>
      <w:r>
        <w:rPr>
          <w:rFonts w:ascii="Calibri" w:hAnsi="Calibri"/>
          <w:b/>
          <w:color w:val="0D1B2A"/>
          <w:sz w:val="21"/>
        </w:rPr>
        <w:t xml:space="preserve">Rate reversal:  </w:t>
      </w:r>
      <w:r>
        <w:rPr>
          <w:rFonts w:ascii="Calibri" w:hAnsi="Calibri"/>
          <w:sz w:val="21"/>
        </w:rPr>
        <w:t>If inflation re-accelerates and the Fed reverses course, biotech re-rates lower. The thesis is directly dependent on the cutting cycle continuing.</w:t>
      </w:r>
    </w:p>
    <w:p>
      <w:pPr>
        <w:pStyle w:val="ListBullet"/>
        <w:spacing w:before="40" w:after="60"/>
        <w:ind w:left="360"/>
      </w:pPr>
      <w:r>
        <w:rPr>
          <w:rFonts w:ascii="Calibri" w:hAnsi="Calibri"/>
          <w:b/>
          <w:color w:val="0D1B2A"/>
          <w:sz w:val="21"/>
        </w:rPr>
        <w:t xml:space="preserve">M&amp;A drought:  </w:t>
      </w:r>
      <w:r>
        <w:rPr>
          <w:rFonts w:ascii="Calibri" w:hAnsi="Calibri"/>
          <w:sz w:val="21"/>
        </w:rPr>
        <w:t>If large-cap pharma balance sheet priorities shift or antitrust scrutiny increases materially, the M&amp;A premium embedded in the sector evaporates. FTC activity is a key watch variable.</w:t>
      </w:r>
    </w:p>
    <w:p>
      <w:pPr>
        <w:spacing w:before="160" w:after="60"/>
      </w:pPr>
      <w:r>
        <w:rPr>
          <w:rFonts w:ascii="Calibri" w:hAnsi="Calibri"/>
          <w:b/>
          <w:color w:val="0D1B2A"/>
          <w:sz w:val="24"/>
        </w:rPr>
        <w:t>Conclusion</w:t>
      </w:r>
    </w:p>
    <w:p>
      <w:pPr>
        <w:spacing w:before="0" w:after="100"/>
      </w:pPr>
      <w:r>
        <w:rPr>
          <w:rFonts w:ascii="Calibri" w:hAnsi="Calibri"/>
          <w:i w:val="0"/>
          <w:color w:val="0D1B2A"/>
          <w:sz w:val="21"/>
        </w:rPr>
        <w:t>The biotech case is rate-driven and M&amp;A-supported. The sector de-rated mechanically when rates rose and is not yet fully repriced for the current cutting environment. A reversion from 5.5x to the 10-year average EV/Sales of 6.5x implies 18% upside from multiple expansion alone. The M&amp;A pipeline from large-cap pharma creates additional upside as acquisition premiums reset peer valuations.</w:t>
      </w:r>
    </w:p>
    <w:p>
      <w:pPr>
        <w:spacing w:before="160" w:after="60"/>
      </w:pPr>
      <w:r>
        <w:rPr>
          <w:rFonts w:ascii="Calibri" w:hAnsi="Calibri"/>
          <w:b/>
          <w:color w:val="1B4F72"/>
          <w:sz w:val="22"/>
        </w:rPr>
        <w:t>Watch / Exit / Key Names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AF4FA"/>
          </w:tcPr>
          <w:p>
            <w:r>
              <w:rPr>
                <w:rFonts w:ascii="Calibri" w:hAnsi="Calibri"/>
                <w:b/>
                <w:color w:val="0D1B2A"/>
                <w:sz w:val="20"/>
              </w:rPr>
              <w:t>Watch: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Fed rate path and UST 10yr moves. M&amp;A deal activity and premiums. FDA PDUFA dates for key drugs.</w:t>
            </w:r>
          </w:p>
        </w:tc>
      </w:tr>
      <w:tr>
        <w:tc>
          <w:tcPr>
            <w:tcW w:type="dxa" w:w="4536"/>
            <w:shd w:val="clear" w:color="auto" w:fill="EAF4FA"/>
          </w:tcPr>
          <w:p>
            <w:r>
              <w:rPr>
                <w:rFonts w:ascii="Calibri" w:hAnsi="Calibri"/>
                <w:b/>
                <w:color w:val="0D1B2A"/>
                <w:sz w:val="20"/>
              </w:rPr>
              <w:t>Exit condition: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Fed pauses or reverses; cluster of high-profile Phase 3 failures; IRA drug pricing expansion.</w:t>
            </w:r>
          </w:p>
        </w:tc>
      </w:tr>
      <w:tr>
        <w:tc>
          <w:tcPr>
            <w:tcW w:type="dxa" w:w="4536"/>
            <w:shd w:val="clear" w:color="auto" w:fill="EAF4FA"/>
          </w:tcPr>
          <w:p>
            <w:r>
              <w:rPr>
                <w:rFonts w:ascii="Calibri" w:hAnsi="Calibri"/>
                <w:b/>
                <w:color w:val="0D1B2A"/>
                <w:sz w:val="20"/>
              </w:rPr>
              <w:t>Key names: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XBI (ETF)  ·  REGN  ·  BMY  ·  MRK  ·  VRTX  ·  ABBV</w:t>
            </w:r>
          </w:p>
        </w:tc>
      </w:tr>
    </w:tbl>
    <w:p>
      <w:r>
        <w:br w:type="page"/>
      </w:r>
    </w:p>
    <w:p/>
    <w:p>
      <w:pPr>
        <w:spacing w:before="200" w:after="80"/>
      </w:pPr>
      <w:r>
        <w:rPr>
          <w:rFonts w:ascii="Calibri" w:hAnsi="Calibri"/>
          <w:b/>
          <w:color w:val="0D1B2A"/>
          <w:sz w:val="24"/>
        </w:rPr>
        <w:t>Appendix: Quantitative Analysis</w:t>
      </w:r>
    </w:p>
    <w:p>
      <w:pPr>
        <w:spacing w:before="0" w:after="80"/>
      </w:pPr>
      <w:r>
        <w:rPr>
          <w:rFonts w:ascii="Calibri" w:hAnsi="Calibri"/>
          <w:i/>
          <w:color w:val="4A5568"/>
          <w:sz w:val="20"/>
        </w:rPr>
        <w:t>Python (statsmodels, numpy). Data: Bloomberg, FactSet, FDA, BioPharma Catalyst 2014-2025.</w:t>
      </w:r>
    </w:p>
    <w:p>
      <w:pPr>
        <w:spacing w:before="120" w:after="40"/>
      </w:pPr>
      <w:r>
        <w:rPr>
          <w:rFonts w:ascii="Calibri" w:hAnsi="Calibri"/>
          <w:b/>
          <w:color w:val="1B4F72"/>
          <w:sz w:val="22"/>
        </w:rPr>
        <w:t>1. OLS Regression — UST 10yr Rate vs XBI EV/Sales Multiple</w:t>
      </w:r>
    </w:p>
    <w:p>
      <w:pPr>
        <w:spacing w:before="0" w:after="80"/>
      </w:pPr>
      <w:r>
        <w:rPr>
          <w:rFonts w:ascii="Calibri" w:hAnsi="Calibri"/>
          <w:i w:val="0"/>
          <w:sz w:val="20"/>
        </w:rPr>
        <w:t>Model: XBI NTM EV/Sales = α + β × UST 10yr rate (%)</w:t>
        <w:br/>
        <w:t>Sample: 2014-2025 annual data (n=12). R²=0.543, p=0.006 — significant at 1%.</w:t>
        <w:br/>
        <w:t>Interpretation: each 100bps increase in the risk-free rate is associated with a -0.956x contraction in the XBI EV/Sales multiple. This confirms biotech is a high-duration sector with significant rate sensitivity — and makes it a direct beneficiary of the cutting cycle.</w:t>
      </w:r>
    </w:p>
    <w:p>
      <w:pPr>
        <w:spacing w:before="40" w:after="120"/>
        <w:ind w:left="432"/>
      </w:pPr>
      <w:r>
        <w:rPr>
          <w:rFonts w:ascii="Courier New" w:hAnsi="Courier New"/>
          <w:color w:val="1E1E1E"/>
          <w:sz w:val="18"/>
        </w:rPr>
        <w:t xml:space="preserve">                       OLS Regression Results</w:t>
        <w:br/>
        <w:t>================================================================</w:t>
        <w:br/>
        <w:t>Dep. Variable:  XBI EV/Sales (NTM)          R-squared:  0.543</w:t>
        <w:br/>
        <w:t>Model:          OLS                          Adj. R²:    0.497</w:t>
        <w:br/>
        <w:t>No. Obs:        12                           F-stat:     11.86</w:t>
        <w:br/>
        <w:t>Prob (F-stat):  0.0063                       Significant at 1%</w:t>
        <w:br/>
        <w:t>----------------------------------------------------------------</w:t>
        <w:br/>
        <w:t xml:space="preserve">           coef    std err    t      P&gt;|t|   [0.025   0.975]</w:t>
        <w:br/>
        <w:t>----------------------------------------------------------------</w:t>
        <w:br/>
        <w:t>const      8.697    0.882    9.860   0.000    6.67    10.72</w:t>
        <w:br/>
        <w:t>UST 10yr  -0.956    0.278   -3.444   0.006   -1.60    -0.32</w:t>
        <w:br/>
        <w:t>================================================================</w:t>
        <w:br/>
        <w:t>Pearson r = -0.737  |  p-value = 0.006  |  Significant at 1%</w:t>
      </w:r>
    </w:p>
    <w:p>
      <w:pPr>
        <w:spacing w:before="0" w:after="80"/>
      </w:pPr>
      <w:r>
        <w:rPr>
          <w:rFonts w:ascii="Calibri" w:hAnsi="Calibri"/>
          <w:i w:val="0"/>
          <w:sz w:val="20"/>
        </w:rPr>
        <w:t>The coefficient implies: if UST 10yr declines from 4.28% to 3.0% (128bps cut), the model predicts a +1.22x expansion in EV/Sales (from 4.6x to 5.8x). At current XBI revenues, this would imply approximately 26% multiple expansion, before any revenue growth contribution.</w:t>
      </w:r>
    </w:p>
    <w:p>
      <w:pPr>
        <w:spacing w:before="120" w:after="40"/>
      </w:pPr>
      <w:r>
        <w:rPr>
          <w:rFonts w:ascii="Calibri" w:hAnsi="Calibri"/>
          <w:b/>
          <w:color w:val="1B4F72"/>
          <w:sz w:val="22"/>
        </w:rPr>
        <w:t>2. Rate Scenario Analysis — Implied XBI Re-rating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1512"/>
            <w:shd w:val="clear" w:color="auto"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UST 10yr Target</w:t>
            </w:r>
          </w:p>
        </w:tc>
        <w:tc>
          <w:tcPr>
            <w:tcW w:type="dxa" w:w="1512"/>
            <w:shd w:val="clear" w:color="auto"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OLS EV/Sales</w:t>
            </w:r>
          </w:p>
        </w:tc>
        <w:tc>
          <w:tcPr>
            <w:tcW w:type="dxa" w:w="1512"/>
            <w:shd w:val="clear" w:color="auto"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vs Current (5.5x)</w:t>
            </w:r>
          </w:p>
        </w:tc>
        <w:tc>
          <w:tcPr>
            <w:tcW w:type="dxa" w:w="1512"/>
            <w:shd w:val="clear" w:color="auto"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Rev Growth (+12%)</w:t>
            </w:r>
          </w:p>
        </w:tc>
        <w:tc>
          <w:tcPr>
            <w:tcW w:type="dxa" w:w="1512"/>
            <w:shd w:val="clear" w:color="auto"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Total Return</w:t>
            </w:r>
          </w:p>
        </w:tc>
      </w:tr>
      <w:tr>
        <w:tc>
          <w:tcPr>
            <w:tcW w:type="dxa" w:w="1512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Rates unchanged</w:t>
            </w:r>
          </w:p>
        </w:tc>
        <w:tc>
          <w:tcPr>
            <w:tcW w:type="dxa" w:w="1512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4.28%</w:t>
            </w:r>
          </w:p>
        </w:tc>
        <w:tc>
          <w:tcPr>
            <w:tcW w:type="dxa" w:w="1512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4.60x</w:t>
            </w:r>
          </w:p>
        </w:tc>
        <w:tc>
          <w:tcPr>
            <w:tcW w:type="dxa" w:w="1512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-16.3%</w:t>
            </w:r>
          </w:p>
        </w:tc>
        <w:tc>
          <w:tcPr>
            <w:tcW w:type="dxa" w:w="1512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+12%</w:t>
            </w:r>
          </w:p>
        </w:tc>
        <w:tc>
          <w:tcPr>
            <w:tcW w:type="dxa" w:w="1512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-6.3%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One cut to 4.0%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4.00%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4.87x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-11.5%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+12%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-0.7%</w:t>
            </w:r>
          </w:p>
        </w:tc>
      </w:tr>
      <w:tr>
        <w:tc>
          <w:tcPr>
            <w:tcW w:type="dxa" w:w="1512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Base (3.5%)</w:t>
            </w:r>
          </w:p>
        </w:tc>
        <w:tc>
          <w:tcPr>
            <w:tcW w:type="dxa" w:w="1512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3.50%</w:t>
            </w:r>
          </w:p>
        </w:tc>
        <w:tc>
          <w:tcPr>
            <w:tcW w:type="dxa" w:w="1512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5.35x</w:t>
            </w:r>
          </w:p>
        </w:tc>
        <w:tc>
          <w:tcPr>
            <w:tcW w:type="dxa" w:w="1512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-2.7%</w:t>
            </w:r>
          </w:p>
        </w:tc>
        <w:tc>
          <w:tcPr>
            <w:tcW w:type="dxa" w:w="1512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+12%</w:t>
            </w:r>
          </w:p>
        </w:tc>
        <w:tc>
          <w:tcPr>
            <w:tcW w:type="dxa" w:w="1512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+8.9%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Bull (3.0%)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3.00%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5.83x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+6.0%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+12%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+18.7%</w:t>
            </w:r>
          </w:p>
        </w:tc>
      </w:tr>
      <w:tr>
        <w:tc>
          <w:tcPr>
            <w:tcW w:type="dxa" w:w="1512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Full revert (2.5%)</w:t>
            </w:r>
          </w:p>
        </w:tc>
        <w:tc>
          <w:tcPr>
            <w:tcW w:type="dxa" w:w="1512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2.50%</w:t>
            </w:r>
          </w:p>
        </w:tc>
        <w:tc>
          <w:tcPr>
            <w:tcW w:type="dxa" w:w="1512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6.31x</w:t>
            </w:r>
          </w:p>
        </w:tc>
        <w:tc>
          <w:tcPr>
            <w:tcW w:type="dxa" w:w="1512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+14.7%</w:t>
            </w:r>
          </w:p>
        </w:tc>
        <w:tc>
          <w:tcPr>
            <w:tcW w:type="dxa" w:w="1512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+12%</w:t>
            </w:r>
          </w:p>
        </w:tc>
        <w:tc>
          <w:tcPr>
            <w:tcW w:type="dxa" w:w="1512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+28.4%</w:t>
            </w:r>
          </w:p>
        </w:tc>
      </w:tr>
    </w:tbl>
    <w:p/>
    <w:p>
      <w:pPr>
        <w:spacing w:before="0" w:after="80"/>
      </w:pPr>
      <w:r>
        <w:rPr>
          <w:rFonts w:ascii="Calibri" w:hAnsi="Calibri"/>
          <w:i w:val="0"/>
          <w:sz w:val="20"/>
        </w:rPr>
        <w:t>Revenue growth assumption: +12% (consensus FactSet 2026E for XBI composite). The bear case shows a small negative total return at unchanged rates — this is the honest scenario, and it is why rate path is the critical variable to watch.</w:t>
      </w:r>
    </w:p>
    <w:p>
      <w:pPr>
        <w:spacing w:before="120" w:after="40"/>
      </w:pPr>
      <w:r>
        <w:rPr>
          <w:rFonts w:ascii="Calibri" w:hAnsi="Calibri"/>
          <w:b/>
          <w:color w:val="1B4F72"/>
          <w:sz w:val="22"/>
        </w:rPr>
        <w:t>3. Patent Cliff and M&amp;A Pipeline — Large-Cap Pharma 2025-2030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Company</w:t>
            </w:r>
          </w:p>
        </w:tc>
        <w:tc>
          <w:tcPr>
            <w:tcW w:type="dxa" w:w="1814"/>
            <w:shd w:val="clear" w:color="auto"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Drug at Risk</w:t>
            </w:r>
          </w:p>
        </w:tc>
        <w:tc>
          <w:tcPr>
            <w:tcW w:type="dxa" w:w="1814"/>
            <w:shd w:val="clear" w:color="auto"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Peak Revenue</w:t>
            </w:r>
          </w:p>
        </w:tc>
        <w:tc>
          <w:tcPr>
            <w:tcW w:type="dxa" w:w="1814"/>
            <w:shd w:val="clear" w:color="auto"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Patent Expiry</w:t>
            </w:r>
          </w:p>
        </w:tc>
        <w:tc>
          <w:tcPr>
            <w:tcW w:type="dxa" w:w="1814"/>
            <w:shd w:val="clear" w:color="auto"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M&amp;A Budget Est.</w:t>
            </w:r>
          </w:p>
        </w:tc>
      </w:tr>
      <w:tr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AbbVie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Humira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$21bn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2023 (US)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$20-30bn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Bristol-Myers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Revlimid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$13bn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2023-26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$15-25bn</w:t>
            </w:r>
          </w:p>
        </w:tc>
      </w:tr>
      <w:tr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Pfizer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Paxlovid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$19bn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2023 (peak past)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$20-40bn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Merck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Keytruda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$25bn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2028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$15-30bn</w:t>
            </w:r>
          </w:p>
        </w:tc>
      </w:tr>
      <w:tr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Johnson &amp; J.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Stelara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$10bn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2023-25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$10-20bn</w:t>
            </w:r>
          </w:p>
        </w:tc>
      </w:tr>
    </w:tbl>
    <w:p/>
    <w:p>
      <w:pPr>
        <w:spacing w:before="0" w:after="80"/>
      </w:pPr>
      <w:r>
        <w:rPr>
          <w:rFonts w:ascii="Calibri" w:hAnsi="Calibri"/>
          <w:i w:val="0"/>
          <w:sz w:val="20"/>
        </w:rPr>
        <w:t>Combined revenue at risk from these five companies: ~$88bn through 2030. Each requires external acquisition to replace revenue. At 40-60% acquisition premiums (observed in 2023-24 deal data), this creates a systematic bid for clinical-stage biotech assets in Phase 2-3 with validated mechanisms. Source: company filings, FactSet.</w:t>
      </w:r>
    </w:p>
    <w:p>
      <w:pPr>
        <w:spacing w:before="120" w:after="40"/>
      </w:pPr>
      <w:r>
        <w:rPr>
          <w:rFonts w:ascii="Calibri" w:hAnsi="Calibri"/>
          <w:b/>
          <w:color w:val="1B4F72"/>
          <w:sz w:val="22"/>
        </w:rPr>
        <w:t>4. Historical Data — UST 10yr vs XBI EV/Sales (2014-2025)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Year</w:t>
            </w:r>
          </w:p>
        </w:tc>
        <w:tc>
          <w:tcPr>
            <w:tcW w:type="dxa" w:w="1814"/>
            <w:shd w:val="clear" w:color="auto"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UST 10yr (%)</w:t>
            </w:r>
          </w:p>
        </w:tc>
        <w:tc>
          <w:tcPr>
            <w:tcW w:type="dxa" w:w="1814"/>
            <w:shd w:val="clear" w:color="auto"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XBI EV/Sales</w:t>
            </w:r>
          </w:p>
        </w:tc>
        <w:tc>
          <w:tcPr>
            <w:tcW w:type="dxa" w:w="1814"/>
            <w:shd w:val="clear" w:color="auto"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OLS Fitted</w:t>
            </w:r>
          </w:p>
        </w:tc>
        <w:tc>
          <w:tcPr>
            <w:tcW w:type="dxa" w:w="1814"/>
            <w:shd w:val="clear" w:color="auto" w:fill="0D1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Residual</w:t>
            </w:r>
          </w:p>
        </w:tc>
      </w:tr>
      <w:tr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2014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2.54%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6.8x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6.27x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+0.53x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2015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2.14%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7.2x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6.65x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+0.55x</w:t>
            </w:r>
          </w:p>
        </w:tc>
      </w:tr>
      <w:tr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2016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2.45%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5.4x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6.35x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-0.95x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2017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2.41%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5.9x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6.39x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-0.49x</w:t>
            </w:r>
          </w:p>
        </w:tc>
      </w:tr>
      <w:tr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2018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2.91%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5.1x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5.91x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-0.81x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2019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2.14%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5.6x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6.65x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-1.05x</w:t>
            </w:r>
          </w:p>
        </w:tc>
      </w:tr>
      <w:tr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2020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0.93%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7.3x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7.81x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-0.51x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2021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1.52%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9.4x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7.24x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+2.16x</w:t>
            </w:r>
          </w:p>
        </w:tc>
      </w:tr>
      <w:tr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2022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3.88%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4.2x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5.00x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-0.80x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2023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3.97%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4.8x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4.91x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-0.11x</w:t>
            </w:r>
          </w:p>
        </w:tc>
      </w:tr>
      <w:tr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2024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4.25%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5.2x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4.64x</w:t>
            </w:r>
          </w:p>
        </w:tc>
        <w:tc>
          <w:tcPr>
            <w:tcW w:type="dxa" w:w="1814"/>
            <w:shd w:val="clear" w:color="auto" w:fill="F4F6F8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+0.56x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2025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4.28%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5.5x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4.60x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+0.90x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A5568"/>
        <w:sz w:val="16"/>
      </w:rPr>
      <w:t>Memo #5  ·  For educational purposes only — not investment advice  ·  Sources: Bloomberg, FactSet, FDA, BioPharma Catalyst, BofA, Goldman Sachs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