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AMZ Prep Freight bidding Agent. 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850d15"/>
          <w:sz w:val="24"/>
          <w:szCs w:val="24"/>
        </w:rPr>
      </w:pPr>
      <w:bookmarkStart w:colFirst="0" w:colLast="0" w:name="_hxbp6zb9islg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0d15"/>
          <w:sz w:val="24"/>
          <w:szCs w:val="24"/>
          <w:rtl w:val="0"/>
        </w:rPr>
        <w:t xml:space="preserve">Core insight: AMZ Prep is losing freight contracts not on price — but on speed. First responder wins. This agent cuts response time from 3–24 hours to under 30 minutes using the existing stack.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rtl w:val="0"/>
        </w:rPr>
        <w:t xml:space="preserve">1. WHAT DOES YOUR AGENT LOOP LOOK LIKE?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shd w:fill="ff71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  <w:rtl w:val="0"/>
        </w:rPr>
        <w:t xml:space="preserve">Workflow 1 — Intake + Carrier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0e121d"/>
          <w:sz w:val="20"/>
          <w:szCs w:val="20"/>
          <w:rtl w:val="0"/>
        </w:rPr>
        <w:t xml:space="preserve">Gmail trigger (freight@amzprep.com) → LLM extracts structured fields (origin, destination, weight, cargo type, timeline) → Build Freight Record (quote ID, markup rule, carrier list, 2hr bid deadline) → Split into 6 parallel items → Send simultaneous RFQs to all carriers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  <w:b w:val="1"/>
          <w:bCs w:val="1"/>
          <w:color w:val="ffffff"/>
          <w:sz w:val="13"/>
          <w:szCs w:val="1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  <w:rtl w:val="0"/>
        </w:rPr>
        <w:t xml:space="preserve">Workflow 2 — Rate Collection + Re-Bid + Quote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0e121d"/>
          <w:sz w:val="20"/>
          <w:szCs w:val="20"/>
          <w:rtl w:val="0"/>
        </w:rPr>
        <w:t xml:space="preserve">Carrier reply arrives → Regex parser extracts rate, transit days, availability → Log to Google Sheets → Timer check (2hr window expired?) → Re-Bid Engine identifies lowest rate → Sends best-and-final to non-winners (30min window) → Markup Engine applies customer-specific rule → LLM generates quote email → Send to customer with 4hr expiry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  <w:rtl w:val="0"/>
        </w:rPr>
        <w:t xml:space="preserve">Workflow 3 — Approval Branching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color w:val="0e121d"/>
          <w:sz w:val="20"/>
          <w:szCs w:val="20"/>
          <w:rtl w:val="0"/>
        </w:rPr>
        <w:t xml:space="preserve">Customer reply → Keyword classifier (APPROVED / REJECTED / NEGOTIATING / UNCLEAR) → WIN: notify carrier, generate PandaDoc invoice, log APPROVED to Sheets + HubSpot → LOSS: log reason + competitor rate, notify carrier cancelled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ff71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rtl w:val="0"/>
        </w:rPr>
        <w:t xml:space="preserve">2. HOW DO YOU MANAGE STATE BETWEEN STEPS?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State flows through the workflow as a structured JSON object attached to each n8n execution. No external state store is needed for the MVP — the freight record is created at intake and enriched at each step.</w:t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color w:val="0e121d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N8n execution context: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 quote_id, origin, destination, weight, markup_pct, eligible_carriers, bid_deadline — passed node to node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color w:val="0e121d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Google Sheets: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Freight Pipeline tab (deal status, margin), Rate Responses tab (all carrier rates by 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color w:val="0e121d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HubSpot pipeline:</w:t>
      </w: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0e121d"/>
          <w:sz w:val="20"/>
          <w:szCs w:val="20"/>
          <w:rtl w:val="0"/>
        </w:rPr>
        <w:t xml:space="preserve">Deal stage progresses: INTAKE → OUT TO CARRIERS → QUOTE SENT → APPROVED /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color w:val="0e121d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Idempotency: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quote_id = FQ-{timestamp} ensures each execution is unique. Re-runs don't create duplicate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ind w:left="0" w:firstLine="0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76" w:lineRule="auto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rtl w:val="0"/>
        </w:rPr>
        <w:t xml:space="preserve">3.WHAT WOULD YOU SWAP IN TO MAKE IT PRODUCTION-READY?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  <w:rtl w:val="0"/>
        </w:rPr>
        <w:t xml:space="preserve">Email parsing for carrier rates: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Direct carrier API integrations (UPS, FedEx, XPO all have REST rate APIs) — response time drops from minutes to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  <w:rtl w:val="0"/>
        </w:rPr>
        <w:t xml:space="preserve">Groq Llama for extraction:</w:t>
      </w: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Claude Sonnet or GPT-4o — more reliable JSON output, fewer hallucinations on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  <w:rtl w:val="0"/>
        </w:rPr>
        <w:t xml:space="preserve">Google Sheets for state:</w:t>
      </w: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PostgreSQL or Supabase — proper indexing, concurrent write safety, real query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  <w:rtl w:val="0"/>
        </w:rPr>
        <w:t xml:space="preserve">Keyword classifier for approvals:</w:t>
      </w: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Fine-tuned classifier or Claude with structured output — handles edge cases, multilingual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  <w:rtl w:val="0"/>
        </w:rPr>
        <w:t xml:space="preserve">Mock markup rules in code:</w:t>
      </w: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Database-driven markup table — account managers update rules without touching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  <w:shd w:fill="ff712c" w:val="clear"/>
          <w:rtl w:val="0"/>
        </w:rPr>
        <w:t xml:space="preserve">Manual Gmail credentials:</w:t>
      </w:r>
      <w:r w:rsidDel="00000000" w:rsidR="00000000" w:rsidRPr="00000000">
        <w:rPr>
          <w:rFonts w:ascii="Times New Roman" w:cs="Times New Roman" w:eastAsia="Times New Roman" w:hAnsi="Times New Roman"/>
          <w:color w:val="152a58"/>
          <w:sz w:val="20"/>
          <w:szCs w:val="20"/>
          <w:shd w:fill="ff712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121d"/>
          <w:sz w:val="20"/>
          <w:szCs w:val="20"/>
          <w:rtl w:val="0"/>
        </w:rPr>
        <w:t xml:space="preserve">Service account with dedicated freight@amzprep.com OAuth — no personal account dependency</w:t>
      </w:r>
    </w:p>
    <w:p w:rsidR="00000000" w:rsidDel="00000000" w:rsidP="00000000" w:rsidRDefault="00000000" w:rsidRPr="00000000" w14:paraId="00000029">
      <w:pPr>
        <w:spacing w:before="0" w:line="276" w:lineRule="auto"/>
        <w:rPr>
          <w:rFonts w:ascii="Arial" w:cs="Arial" w:eastAsia="Arial" w:hAnsi="Arial"/>
          <w:b w:val="1"/>
          <w:bCs w:val="1"/>
          <w:color w:val="152a58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2a58"/>
          <w:rtl w:val="0"/>
        </w:rPr>
        <w:t xml:space="preserve">4. WHAT ARE THE FAILURE MODES AND HOW DO YOU HANDLE THEM?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52a58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400"/>
        <w:gridCol w:w="3030"/>
        <w:tblGridChange w:id="0">
          <w:tblGrid>
            <w:gridCol w:w="2400"/>
            <w:gridCol w:w="2400"/>
            <w:gridCol w:w="303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152a5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Failure mode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152a5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152a5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it's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LLM returns invalid JSON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Workflow breaks at parse step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JSON parser Code node strips markdown, returns safe defaults + parse_error flag for debugging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 carriers respond in 2hrs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Quote never generated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Timer triggers re-bid regardless. Escalation email to ops team if zero responses after 3hrs.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Carrier email format varies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Rate parsed incorrectly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Regex parser handles $ amounts, day counts, availability keywords. Null returned if not found — flagged for manual review.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Customer approval unclear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Wrong branch triggered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UNCLEAR classification routes to human review queue — no automated action taken until confirmed.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Quote expiry not respected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Stale rate confirmed</w:t>
            </w:r>
          </w:p>
        </w:tc>
        <w:tc>
          <w:tcPr>
            <w:tcBorders>
              <w:top w:color="dfe1e6" w:space="0" w:sz="6" w:val="single"/>
              <w:left w:color="dfe1e6" w:space="0" w:sz="6" w:val="single"/>
              <w:bottom w:color="dfe1e6" w:space="0" w:sz="6" w:val="single"/>
              <w:right w:color="dfe1e6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quote_expiry timestamp stored. Approval handler checks expiry before proceeding — expired quotes require re-quote.</w:t>
            </w:r>
          </w:p>
        </w:tc>
      </w:tr>
    </w:tbl>
    <w:p w:rsidR="00000000" w:rsidDel="00000000" w:rsidP="00000000" w:rsidRDefault="00000000" w:rsidRPr="00000000" w14:paraId="0000003F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  <w:color w:val="152a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276" w:lineRule="auto"/>
        <w:rPr>
          <w:rFonts w:ascii="Times New Roman" w:cs="Times New Roman" w:eastAsia="Times New Roman" w:hAnsi="Times New Roman"/>
          <w:color w:val="0e121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T Sans Narrow">
    <w:embedRegular w:fontKey="{00000000-0000-0000-0000-000000000000}" r:id="rId4" w:subsetted="0"/>
    <w:embedBold w:fontKey="{00000000-0000-0000-0000-000000000000}" r:id="rId5" w:subsetted="0"/>
  </w:font>
  <w:font w:name="Open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left"/>
      <w:rPr/>
    </w:pPr>
    <w:bookmarkStart w:colFirst="0" w:colLast="0" w:name="_9nvcibv3gama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TSansNarrow-regular.ttf"/><Relationship Id="rId9" Type="http://schemas.openxmlformats.org/officeDocument/2006/relationships/font" Target="fonts/OpenSans-boldItalic.ttf"/><Relationship Id="rId5" Type="http://schemas.openxmlformats.org/officeDocument/2006/relationships/font" Target="fonts/PTSansNarrow-bold.ttf"/><Relationship Id="rId6" Type="http://schemas.openxmlformats.org/officeDocument/2006/relationships/font" Target="fonts/OpenSans-regular.ttf"/><Relationship Id="rId7" Type="http://schemas.openxmlformats.org/officeDocument/2006/relationships/font" Target="fonts/OpenSans-bold.ttf"/><Relationship Id="rId8" Type="http://schemas.openxmlformats.org/officeDocument/2006/relationships/font" Target="fonts/Open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