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等线" w:hAnsi="等线" w:eastAsia="等线"/>
          <w:b/>
          <w:i/>
          <w:color w:val="FF0000"/>
          <w:sz w:val="48"/>
          <w:u w:val="single"/>
        </w:rPr>
        <w:t>春晓</w:t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t>作者：孟浩然</w:t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t>春眠不觉晓，</w:t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t>处处闻啼鸟；</w:t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br w:type="page"/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t>夜来风雨声，</w:t>
      </w:r>
    </w:p>
    <w:p>
      <w:r>
        <w:rPr>
          <w:rFonts w:ascii="等线" w:hAnsi="等线" w:eastAsia="等线"/>
          <w:b/>
          <w:i/>
          <w:color w:val="FF0000"/>
          <w:sz w:val="48"/>
          <w:u w:val="single"/>
        </w:rPr>
        <w:t>花落知多少。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