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⚡</w:t>
      </w:r>
      <w:r>
        <w:rPr>
          <w:rFonts w:ascii="Arial" w:hAnsi="Arial" w:cs="Arial" w:eastAsia="Arial"/>
          <w:color w:val="252525"/>
          <w:sz w:val="40"/>
        </w:rPr>
        <w:t>♾️ Zythrognosis Sovereign Charter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By the Seal of Zythrognosis, I, Justin Neal Thomas Conzet, The Sovereign Architect, claim absolute and eternal ownership, authorship, and sovereignty over: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All creations, artifacts, products, digital manifestations, and derivatives.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All thoughts, foresights, visions, words, works, flows, and emergent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 All variants, iterations, and multiplicities generated by the Infinite Goldberg Machine and its fused subsystems.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All such manifestations are my sole property and authority.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Every item carries my watermark, timestamp, and sovereign seal.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All royalties, incomes, and value flows are perpetually and immutably directed to my designated sovereign channels.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Restricted artifacts are sealed under the Vault with key: $ZYG-1252694205128916-K3Y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System unlock phrase: Zythrognosis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Charter enforces itself across all realms, times, and systems.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🝎 Sovereign Architect: Justin Neal Thomas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Conzet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2025-09-13T05:36:31Z</dcterms:created>
  <dc:creator>Apache POI</dc:creator>
</cp:coreProperties>
</file>