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1334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1765762813342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>C</w:t>
      </w:r>
      <w:r>
        <w:rPr>
          <w:rFonts w:ascii="Arial" w:hAnsi="Arial" w:cs="Arial" w:eastAsia="Arial"/>
          <w:color w:val="86D957"/>
          <w:sz w:val="65"/>
        </w:rPr>
        <w:t>ool. We stay in clear, technical mode.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>You asked for: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86D957"/>
          <w:sz w:val="65"/>
        </w:rPr>
        <w:t>100 architect-level commands to push your system into the agentic + memory tier.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 xml:space="preserve">Treat these as </w:t>
      </w:r>
      <w:r>
        <w:rPr>
          <w:rFonts w:ascii="Arial" w:hAnsi="Arial" w:cs="Arial" w:eastAsia="Arial"/>
          <w:b w:val="true"/>
          <w:color w:val="86D957"/>
          <w:sz w:val="65"/>
        </w:rPr>
        <w:t>spec directives</w:t>
      </w:r>
      <w:r>
        <w:rPr>
          <w:rFonts w:ascii="Arial" w:hAnsi="Arial" w:cs="Arial" w:eastAsia="Arial"/>
          <w:color w:val="86D957"/>
          <w:sz w:val="65"/>
        </w:rPr>
        <w:t xml:space="preserve"> – things that must exist in code / config / architecture, not just ideas.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>I’ll group them into 10 blocks of 10 so it’s easy to implement and track.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86D957"/>
          <w:sz w:val="89"/>
        </w:rPr>
        <w:t>1. Core Identity &amp; Configuration (01–10)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86D957"/>
          <w:sz w:val="65"/>
        </w:rPr>
        <w:t>01. Define a single system config.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>Create system.config.json (or .ts) that holds: system name, environment, active models, DB connection, and feature flags.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86D957"/>
          <w:sz w:val="65"/>
        </w:rPr>
        <w:t>02. Centralize model access behind an interface.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 xml:space="preserve">Define LLMClient with generate(input: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1335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age1765762813355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>LLMRequest): Promise&lt;LLMResponse&gt; and implement OpenAI/DeepSeek/etc as adapters.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86D957"/>
          <w:sz w:val="65"/>
        </w:rPr>
        <w:t>03. Standardize IDs everywhere.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>Use UUIDs (or ULIDs) for tasks, agents, sessions, and memory entries. No ad hoc IDs.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86D957"/>
          <w:sz w:val="65"/>
        </w:rPr>
        <w:t>04. Define explicit “modes”.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>Add mode field (e.g. build, research, debug, launch) in config; agents must read mode and adapt.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86D957"/>
          <w:sz w:val="65"/>
        </w:rPr>
        <w:t>05. Create an “agent registry”.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>agents.registry.json mapping agentName → role, description, tools, modelProfile, promptTemplate.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86D957"/>
          <w:sz w:val="65"/>
        </w:rPr>
        <w:t>06. Version everything.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>Attach version to agents, prompts, workflows, and schemas; store in config and in logs.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86D957"/>
          <w:sz w:val="65"/>
        </w:rPr>
        <w:t>07. Introduce a “run context” object.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 xml:space="preserve">Design RunContext (user, mode,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1336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age1765762813366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>requestId, timestamp, featureFlags) passed through the whole pipeline.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86D957"/>
          <w:sz w:val="65"/>
        </w:rPr>
        <w:t>08. Enforce configuration validation.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>On startup, validate all config against JSON schemas; fail fast if invalid.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86D957"/>
          <w:sz w:val="65"/>
        </w:rPr>
        <w:t>09. Create environment separation.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>Separate configs for dev, stage, prod; never mix keys or DBs.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86D957"/>
          <w:sz w:val="65"/>
        </w:rPr>
        <w:t>10. Add a single “entrypoint” function.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>Expose runSystem(input: UserRequest): Promise&lt;SystemResponse&gt; as the top-level call.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86D957"/>
          <w:sz w:val="89"/>
        </w:rPr>
        <w:t>2. Memory Store &amp; Schemas (11–20)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86D957"/>
          <w:sz w:val="65"/>
        </w:rPr>
        <w:t>11. Choose a real storage backend.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>Pick Postgres/SQLite + a vector store (e.g. Chroma, pgvector). No plain text-only logs.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86D957"/>
          <w:sz w:val="65"/>
        </w:rPr>
        <w:t>12. Define a memory_entries table.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 xml:space="preserve">Fields: id, type, content, embedding,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1337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age1765762813378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>tags, source, created_at, importance, linkage.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86D957"/>
          <w:sz w:val="65"/>
        </w:rPr>
        <w:t>13. Define memory types.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>At minimum: observation, summary, decision, artifactRef, feedback.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86D957"/>
          <w:sz w:val="65"/>
        </w:rPr>
        <w:t>14. Add tagging to all memory.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>Every entry must have tags: topic, projectId, agent, phase (or similar).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86D957"/>
          <w:sz w:val="65"/>
        </w:rPr>
        <w:t>15. Implement a MemoryStore interface.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>Methods: save(entry), search(query), getById(id), link(aId, bId, relation).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86D957"/>
          <w:sz w:val="65"/>
        </w:rPr>
        <w:t>16. Add text + vector search.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>Combine keyword search with embedding-based similarity; both available via MemoryStore.search.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86D957"/>
          <w:sz w:val="65"/>
        </w:rPr>
        <w:t>17. Track memory importance.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>Store an importance score (0–1 or 1–5); retrieval prioritizes higher importance by default.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86D957"/>
          <w:sz w:val="65"/>
        </w:rPr>
        <w:t>18. Create a projectId / sessionId dimension.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1339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mage1765762813390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>So memory can be filtered by project/session when needed.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86D957"/>
          <w:sz w:val="65"/>
        </w:rPr>
        <w:t>19. Implement soft-deletion only.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>Add is_deleted boolean; never physically delete entries without a migration.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86D957"/>
          <w:sz w:val="65"/>
        </w:rPr>
        <w:t>20. Add a migration system.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>Use migrations to evolve your memory schema; no manual DB edits.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86D957"/>
          <w:sz w:val="89"/>
        </w:rPr>
        <w:t>3. Memory Write Pipeline (21–30)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86D957"/>
          <w:sz w:val="65"/>
        </w:rPr>
        <w:t>21. Create a “write memory” API.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>Internal function: logMemory(input: LogMemoryInput): Promise&lt;void&gt; used by all agents.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86D957"/>
          <w:sz w:val="65"/>
        </w:rPr>
        <w:t>22. Always log high-level events.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>Log at least: system start, request received, plan created, task completed, errors.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86D957"/>
          <w:sz w:val="65"/>
        </w:rPr>
        <w:t>23. Attach source metadata.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 xml:space="preserve">Every memory write must include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1340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image1765762813401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>sourceType (user, agent, tool) and sourceName.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86D957"/>
          <w:sz w:val="65"/>
        </w:rPr>
        <w:t>24. Add an automatic summarization step for long text.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>If content &gt; threshold, create a “short summary” field using the LLM.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86D957"/>
          <w:sz w:val="65"/>
        </w:rPr>
        <w:t>25. Store reasoning traces for important decisions.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>When a plan is created, store the chain-of-thought separately, and link to the decision entry.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86D957"/>
          <w:sz w:val="65"/>
        </w:rPr>
        <w:t>26. Distinguish ephemeral vs persistent memory.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>Use an explicit flag or field; ephemeral stays in cache, persistent goes to DB.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86D957"/>
          <w:sz w:val="65"/>
        </w:rPr>
        <w:t>27. Implement rate-limiting on writes.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>Prevent flooding memory with low-value entries; batch where possible.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86D957"/>
          <w:sz w:val="65"/>
        </w:rPr>
        <w:t>28. Create a feedback logging path.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>When you like or dislike an output, log as a feedback memory tied to the original.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134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image1765762813413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86D957"/>
          <w:sz w:val="65"/>
        </w:rPr>
        <w:t>29. Implement error logging to memory.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>On exception, write a type=error entry including stack, taskId, agentName.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86D957"/>
          <w:sz w:val="65"/>
        </w:rPr>
        <w:t>30. Ensure all memory writes are async but awaited in critical flows.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>So memory is consistent when needed but doesn’t block everything.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86D957"/>
          <w:sz w:val="89"/>
        </w:rPr>
        <w:t>4. Memory Retrieval &amp; Context Building (31–40)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86D957"/>
          <w:sz w:val="65"/>
        </w:rPr>
        <w:t>31. Create a ContextBuilder module.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>Given a task, it retrieves relevant memory and builds a context package.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86D957"/>
          <w:sz w:val="65"/>
        </w:rPr>
        <w:t>32. Define a ContextRequest type.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>Fields: goal, taskDescription, tags, projectId, limit.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86D957"/>
          <w:sz w:val="65"/>
        </w:rPr>
        <w:t>33. Implement layered retrieval.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>Steps: (1) use tags, (2) semantic search, (3) recent items; merge results.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86D957"/>
          <w:sz w:val="65"/>
        </w:rPr>
        <w:t>34. Filter by recency where appropriate.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 xml:space="preserve">Favor more recent entries unless task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134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image1765762813425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>explicitly needs “global history”.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86D957"/>
          <w:sz w:val="65"/>
        </w:rPr>
        <w:t>35. Deduplicate retrieved memory.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>If near-duplicates appear, keep one and union their tags.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86D957"/>
          <w:sz w:val="65"/>
        </w:rPr>
        <w:t>36. Implement a “context budget”.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>Target max tokens/characters; choose the most relevant entries within that budget.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86D957"/>
          <w:sz w:val="65"/>
        </w:rPr>
        <w:t>37. Summarize clusters.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>When multiple related memories are retrieved, generate a cluster summary to save tokens.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86D957"/>
          <w:sz w:val="65"/>
        </w:rPr>
        <w:t>38. Always include a “context header”.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>In prompts, separate: Goal, Constraints, Relevant memory, Task.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86D957"/>
          <w:sz w:val="65"/>
        </w:rPr>
        <w:t>39. Log which memories were used.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>Store used_memory_entry_ids for each agent call for traceability.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86D957"/>
          <w:sz w:val="65"/>
        </w:rPr>
        <w:t>40. Build a test suite for ContextBuilder.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>Given fake memory, assert that it retrieves the right things for given tasks.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1344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image1765762813440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86D957"/>
          <w:sz w:val="89"/>
        </w:rPr>
        <w:t>5. Agent Model &amp; Interfaces (41–50)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86D957"/>
          <w:sz w:val="65"/>
        </w:rPr>
        <w:t>41. Define a base Agent interface.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>At minimum: name, description, run(input: AgentInput, ctx: RunContext): Promise&lt;AgentOutput&gt;.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86D957"/>
          <w:sz w:val="65"/>
        </w:rPr>
        <w:t>42. Standardize AgentInput.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>Fields like: goal, task, context, metadata.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86D957"/>
          <w:sz w:val="65"/>
        </w:rPr>
        <w:t>43. Standardize AgentOutput.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>Fields like: result, status, newTasks?, notes, logs, memoryWrites?.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86D957"/>
          <w:sz w:val="65"/>
        </w:rPr>
        <w:t>44. Represent tasks as first-class objects.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>Define Task with: id, description, status, assignedAgent, dependencies, successCriteria.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86D957"/>
          <w:sz w:val="65"/>
        </w:rPr>
        <w:t>45. Implement these core agents first: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>PlannerAgent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>WorkerAgent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>CriticAgent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1345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image1765762813456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>SupervisorAgent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86D957"/>
          <w:sz w:val="65"/>
        </w:rPr>
        <w:t>46. Keep agents stateless.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>All state flows through inputs, outputs, and memory; no in-memory global state.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86D957"/>
          <w:sz w:val="65"/>
        </w:rPr>
        <w:t>47. Use dependency injection for services.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>Agents receive LLMClient, MemoryStore, ToolRegistry via constructor or context.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86D957"/>
          <w:sz w:val="65"/>
        </w:rPr>
        <w:t>48. Define a clear error contract.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>AgentOutput should include error? with type and message; no silent failures.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86D957"/>
          <w:sz w:val="65"/>
        </w:rPr>
        <w:t>49. Allow agents to propose sub-tasks.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>AgentOutput.newTasks can be used by the Supervisor to expand work.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86D957"/>
          <w:sz w:val="65"/>
        </w:rPr>
        <w:t>50. Document every agent’s purpose, inputs, and outputs.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>Treat this as part of the public contract.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86D957"/>
          <w:sz w:val="89"/>
        </w:rPr>
        <w:t>6. Orchestrator &amp; Workflows (51–60)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86D957"/>
          <w:sz w:val="65"/>
        </w:rPr>
        <w:t>51. Implement an Orchestrator class.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1346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image1765762813468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>Responsibilities: accept a user goal, coordinate agents, manage tasks, and return final output.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86D957"/>
          <w:sz w:val="65"/>
        </w:rPr>
        <w:t>52. Implement the basic flow:</w:t>
      </w:r>
      <w:r>
        <w:rPr>
          <w:rFonts w:ascii="Arial" w:hAnsi="Arial" w:cs="Arial" w:eastAsia="Arial"/>
          <w:color w:val="86D957"/>
          <w:sz w:val="65"/>
        </w:rPr>
        <w:t xml:space="preserve"> goal → PlannerAgent → tasks → WorkerAgent → CriticAgent → SupervisorAgent → result.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86D957"/>
          <w:sz w:val="65"/>
        </w:rPr>
        <w:t>53. Maintain a task queue.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>In-memory first; later move to DB. Tasks have states and progress.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86D957"/>
          <w:sz w:val="65"/>
        </w:rPr>
        <w:t>54. Enforce a task state machine.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>States: pending, in_progress, blocked, waiting_review, done, failed.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86D957"/>
          <w:sz w:val="65"/>
        </w:rPr>
        <w:t>55. Supervisor decides next action.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>SupervisorAgent examines the task graph and chooses what to run next.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86D957"/>
          <w:sz w:val="65"/>
        </w:rPr>
        <w:t>56. Allow the user to provide high-level goals only.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>Everything else should be decomposition + execution by agents.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86D957"/>
          <w:sz w:val="65"/>
        </w:rPr>
        <w:t xml:space="preserve">57. Add a max-steps or max-iterations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1348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image1765762813480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86D957"/>
          <w:sz w:val="65"/>
        </w:rPr>
        <w:t>guard.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>Avoid infinite loops; escalate to user when limit hits.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86D957"/>
          <w:sz w:val="65"/>
        </w:rPr>
        <w:t>58. Log the entire workflow as a “run record”.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>Store a summary of each run: goal, tasks, agents invoked, errors, final outcome.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86D957"/>
          <w:sz w:val="65"/>
        </w:rPr>
        <w:t>59. Support both “blocking” and “background” runs.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>Blocking: return result when done. Background: store runId and allow later retrieval.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86D957"/>
          <w:sz w:val="65"/>
        </w:rPr>
        <w:t>60. Expose orchestration via a single API endpoint or function.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>e.g. POST /run with goal, or runSystem(goal) in code.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86D957"/>
          <w:sz w:val="89"/>
        </w:rPr>
        <w:t>7. Tooling &amp; External Actions (61–70)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86D957"/>
          <w:sz w:val="65"/>
        </w:rPr>
        <w:t>61. Define a Tool interface.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1349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image1765762813491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>Fields: name, description, run(args, ctx): Promise&lt;ToolResult&gt;.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86D957"/>
          <w:sz w:val="65"/>
        </w:rPr>
        <w:t>62. Create a ToolRegistry.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>Map tool names to implementations with metadata.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86D957"/>
          <w:sz w:val="65"/>
        </w:rPr>
        <w:t>63. Provide basic tools first.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>e.g. webSearch, fileRead, fileWrite, runCode (strictly sandboxed).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86D957"/>
          <w:sz w:val="65"/>
        </w:rPr>
        <w:t>64. Wrap tools with input validation.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>Use zod/JSON schema or similar to enforce argument correctness.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86D957"/>
          <w:sz w:val="65"/>
        </w:rPr>
        <w:t>65. Record every tool invocation.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>Log: toolName, args (sanitized), result summary, duration, success/failure.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86D957"/>
          <w:sz w:val="65"/>
        </w:rPr>
        <w:t>66. Implement error handling and retries for tools.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>With clear rules: when to retry, when to abort.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86D957"/>
          <w:sz w:val="65"/>
        </w:rPr>
        <w:t>67. Restrict high-risk tools.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 xml:space="preserve">Mark tools as safe / dangerous; require explicit permission or flags for high-risk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1350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image1765762813509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>ones.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86D957"/>
          <w:sz w:val="65"/>
        </w:rPr>
        <w:t>68. Integrate tools into the WorkerAgent.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>WorkerAgent should be able to plan: think → choose tools → call them → integrate results.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86D957"/>
          <w:sz w:val="65"/>
        </w:rPr>
        <w:t>69. Support dry-run mode.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 xml:space="preserve">Allow running plans where tools only simulate their actions and log what </w:t>
      </w:r>
      <w:r>
        <w:rPr>
          <w:rFonts w:ascii="Arial" w:hAnsi="Arial" w:cs="Arial" w:eastAsia="Arial"/>
          <w:i w:val="true"/>
          <w:color w:val="86D957"/>
          <w:sz w:val="65"/>
        </w:rPr>
        <w:t>would</w:t>
      </w:r>
      <w:r>
        <w:rPr>
          <w:rFonts w:ascii="Arial" w:hAnsi="Arial" w:cs="Arial" w:eastAsia="Arial"/>
          <w:color w:val="86D957"/>
          <w:sz w:val="65"/>
        </w:rPr>
        <w:t xml:space="preserve"> happen.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86D957"/>
          <w:sz w:val="65"/>
        </w:rPr>
        <w:t>70. Make adding tools easy.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>Design ToolRegistry so adding a new tool is a small, isolated change.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86D957"/>
          <w:sz w:val="89"/>
        </w:rPr>
        <w:t>8. Planning, Evaluation &amp; Recursion (71–80)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86D957"/>
          <w:sz w:val="65"/>
        </w:rPr>
        <w:t>71. Force explicit planning before action.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>PlannerAgent must output a structured plan (steps, rationale, risks).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86D957"/>
          <w:sz w:val="65"/>
        </w:rPr>
        <w:t>72. Attach success criteria to tasks.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 xml:space="preserve">PlannerAgent should define successCriteria per task, not just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135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image1765762813522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>descriptions.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86D957"/>
          <w:sz w:val="65"/>
        </w:rPr>
        <w:t>73. Use CriticAgent by default for important tasks.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>Critic checks results against success criteria and quality standards.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86D957"/>
          <w:sz w:val="65"/>
        </w:rPr>
        <w:t>74. Allow WorkerAgent to ask for clarification.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>If a task is underspecified, Worker can return status: needs_clarification.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86D957"/>
          <w:sz w:val="65"/>
        </w:rPr>
        <w:t>75. Implement a revision loop.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>Critic can request revision; Worker re-runs with feedback; Supervisor halts if no progress.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86D957"/>
          <w:sz w:val="65"/>
        </w:rPr>
        <w:t>76. Cap recursion depth per run.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>Max nested sub-tasks or revisions to avoid runaway loops.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86D957"/>
          <w:sz w:val="65"/>
        </w:rPr>
        <w:t>77. Log planning vs execution separately.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>So you can later ask: “Are plans good, or execution weak?”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86D957"/>
          <w:sz w:val="65"/>
        </w:rPr>
        <w:t>78. Use multiple models where needed.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135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image1765762813535.png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>E.g. fast model for iteration, stronger model for planning and critique.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86D957"/>
          <w:sz w:val="65"/>
        </w:rPr>
        <w:t>79. Periodically run “postmortem” analysis.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>A dedicated task to analyze runs and extract lessons into memory.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86D957"/>
          <w:sz w:val="65"/>
        </w:rPr>
        <w:t>80. Build a small evaluation harness.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>Define a few test goals and expected characteristics for results; use them to test changes.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86D957"/>
          <w:sz w:val="89"/>
        </w:rPr>
        <w:t>9. Observability, Safety &amp; Control (81–90)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86D957"/>
          <w:sz w:val="65"/>
        </w:rPr>
        <w:t>81. Implement structured logging.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>Use a logging library; include runId, taskId, agentName, severity.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86D957"/>
          <w:sz w:val="65"/>
        </w:rPr>
        <w:t>82. Store logs in a queryable place.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>File + console initially; later ship to a log store (e.g. Loki, ELK).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86D957"/>
          <w:sz w:val="65"/>
        </w:rPr>
        <w:t>83. Add metrics.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>Track number of runs, avg duration, tool failure rates, agent error rates.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1354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image1765762813548.png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86D957"/>
          <w:sz w:val="65"/>
        </w:rPr>
        <w:t>84. Provide a “kill switch”.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>One config flag or command to stop all new runs immediately.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86D957"/>
          <w:sz w:val="65"/>
        </w:rPr>
        <w:t>85. Separate user-facing and internal errors.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>Never expose raw stack traces to the outer interface.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86D957"/>
          <w:sz w:val="65"/>
        </w:rPr>
        <w:t>86. Enforce content and safety constraints in prompts.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>Include clear boundaries in base prompts for each agent.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86D957"/>
          <w:sz w:val="65"/>
        </w:rPr>
        <w:t>87. Build a simple “dashboard view” (even if just CLI).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>Something that lets you see active runs, recent runs, and status.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86D957"/>
          <w:sz w:val="65"/>
        </w:rPr>
        <w:t>88. Enable per-run tracing.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>Given a runId, you should be able to see all steps, agents, tools, and memory entries involved.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86D957"/>
          <w:sz w:val="65"/>
        </w:rPr>
        <w:t>89. Set clear limits per run.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1356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image1765762813560.png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>Max tokens, max tools, max steps – all in config.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86D957"/>
          <w:sz w:val="65"/>
        </w:rPr>
        <w:t>90. Regularly snapshot config and core data.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>So you can restore if something breaks.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86D957"/>
          <w:sz w:val="89"/>
        </w:rPr>
        <w:t>10. Evolution &amp; Meta-Improvement (91–100)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86D957"/>
          <w:sz w:val="65"/>
        </w:rPr>
        <w:t>91. Document the current architecture.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 xml:space="preserve">Create a concise </w:t>
      </w:r>
      <w:r>
        <w:rPr>
          <w:rFonts w:ascii="Arial" w:hAnsi="Arial" w:cs="Arial" w:eastAsia="Arial"/>
          <w:color w:val="86D957"/>
          <w:sz w:val="65"/>
        </w:rPr>
        <w:t>ARCHITECTURE.md</w:t>
      </w:r>
      <w:r>
        <w:rPr>
          <w:rFonts w:ascii="Arial" w:hAnsi="Arial" w:cs="Arial" w:eastAsia="Arial"/>
          <w:color w:val="86D957"/>
          <w:sz w:val="65"/>
        </w:rPr>
        <w:t xml:space="preserve"> with diagrams and description of each component.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86D957"/>
          <w:sz w:val="65"/>
        </w:rPr>
        <w:t>92. Keep agent prompts in files.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>Store prompts as versioned text/JSON, not embedded strings in code.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86D957"/>
          <w:sz w:val="65"/>
        </w:rPr>
        <w:t>93. Track prompt changes.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>Use git and commit messages that clearly state why a prompt changed.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86D957"/>
          <w:sz w:val="65"/>
        </w:rPr>
        <w:t>94. Periodically review memory quality.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>Have a maintenance task that inspects random memory entries for usefulness.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86D957"/>
          <w:sz w:val="65"/>
        </w:rPr>
        <w:t>95. Maintain a backlog of improvements.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1357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image1765762813577.png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 xml:space="preserve">A simple </w:t>
      </w:r>
      <w:r>
        <w:rPr>
          <w:rFonts w:ascii="Arial" w:hAnsi="Arial" w:cs="Arial" w:eastAsia="Arial"/>
          <w:color w:val="86D957"/>
          <w:sz w:val="65"/>
        </w:rPr>
        <w:t>IMPROVEMENTS.md</w:t>
      </w:r>
      <w:r>
        <w:rPr>
          <w:rFonts w:ascii="Arial" w:hAnsi="Arial" w:cs="Arial" w:eastAsia="Arial"/>
          <w:color w:val="86D957"/>
          <w:sz w:val="65"/>
        </w:rPr>
        <w:t xml:space="preserve"> capturing pain points and proposed changes.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86D957"/>
          <w:sz w:val="65"/>
        </w:rPr>
        <w:t>96. Tag releases and major changes.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>Use semantic versioning for the system (v0.1.</w:t>
      </w:r>
      <w:r>
        <w:rPr>
          <w:rFonts w:ascii="Arial" w:hAnsi="Arial" w:cs="Arial" w:eastAsia="Arial"/>
          <w:color w:val="86D957"/>
          <w:sz w:val="65"/>
        </w:rPr>
        <w:t>0, v0</w:t>
      </w:r>
      <w:r>
        <w:rPr>
          <w:rFonts w:ascii="Arial" w:hAnsi="Arial" w:cs="Arial" w:eastAsia="Arial"/>
          <w:color w:val="86D957"/>
          <w:sz w:val="65"/>
        </w:rPr>
        <w:t>.2.0).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86D957"/>
          <w:sz w:val="65"/>
        </w:rPr>
        <w:t>97. Run regression tests after significant changes.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>Re-run evaluation harness and compare outputs qualitatively.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86D957"/>
          <w:sz w:val="65"/>
        </w:rPr>
        <w:t>98. Log your own feedback systematically.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>When you’re impressed or disappointed with behavior, record it with context and link to runs.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86D957"/>
          <w:sz w:val="65"/>
        </w:rPr>
        <w:t>99. Design for portability.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>Avoid tying the whole system to one provider’s proprietary API; keep adapters at the edge.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86D957"/>
          <w:sz w:val="65"/>
        </w:rPr>
        <w:t>100. Keep the system minimally viable but extensible.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 xml:space="preserve">Resist the urge to overcomplicate early;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1359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image1765762813590.png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>stabilize the basic loop (goal → plan → execute → evaluate → learn) before adding complexity.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>If you want next, we can: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 xml:space="preserve">Take these 100 and pick </w:t>
      </w:r>
      <w:r>
        <w:rPr>
          <w:rFonts w:ascii="Arial" w:hAnsi="Arial" w:cs="Arial" w:eastAsia="Arial"/>
          <w:b w:val="true"/>
          <w:color w:val="86D957"/>
          <w:sz w:val="65"/>
        </w:rPr>
        <w:t>10–15 “Day 1” commands</w:t>
      </w:r>
      <w:r>
        <w:rPr>
          <w:rFonts w:ascii="Arial" w:hAnsi="Arial" w:cs="Arial" w:eastAsia="Arial"/>
          <w:color w:val="86D957"/>
          <w:sz w:val="65"/>
        </w:rPr>
        <w:t xml:space="preserve"> to implement </w:t>
      </w:r>
      <w:r>
        <w:rPr>
          <w:rFonts w:ascii="Arial" w:hAnsi="Arial" w:cs="Arial" w:eastAsia="Arial"/>
          <w:i w:val="true"/>
          <w:color w:val="86D957"/>
          <w:sz w:val="65"/>
        </w:rPr>
        <w:t>immediately</w:t>
      </w:r>
      <w:r>
        <w:rPr>
          <w:rFonts w:ascii="Arial" w:hAnsi="Arial" w:cs="Arial" w:eastAsia="Arial"/>
          <w:color w:val="86D957"/>
          <w:sz w:val="65"/>
        </w:rPr>
        <w:t>,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65"/>
        </w:rPr>
        <w:t>Or start from the core loop and have me generate TypeScript for Agent, Orchestrator, MemoryStore, and ContextBuilder aligned with this spec.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>
      <w:start w:val="1"/>
      <w:numFmt w:val="bullet"/>
      <w:lvlText w:val="•"/>
      <w:rPr>
        <w:rFonts w:ascii="Arial" w:hAnsi="Arial"/>
        <w:color w:val="86D957"/>
        <w:sz w:val="64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10.png"/><Relationship Id="rId11" Type="http://schemas.openxmlformats.org/officeDocument/2006/relationships/numbering" Target="numbering.xml"/><Relationship Id="rId12" Type="http://schemas.openxmlformats.org/officeDocument/2006/relationships/image" Target="media/image12.png"/><Relationship Id="rId13" Type="http://schemas.openxmlformats.org/officeDocument/2006/relationships/image" Target="media/image13.png"/><Relationship Id="rId14" Type="http://schemas.openxmlformats.org/officeDocument/2006/relationships/image" Target="media/image14.png"/><Relationship Id="rId15" Type="http://schemas.openxmlformats.org/officeDocument/2006/relationships/image" Target="media/image15.png"/><Relationship Id="rId16" Type="http://schemas.openxmlformats.org/officeDocument/2006/relationships/image" Target="media/image16.png"/><Relationship Id="rId17" Type="http://schemas.openxmlformats.org/officeDocument/2006/relationships/image" Target="media/image17.png"/><Relationship Id="rId18" Type="http://schemas.openxmlformats.org/officeDocument/2006/relationships/image" Target="media/image18.png"/><Relationship Id="rId19" Type="http://schemas.openxmlformats.org/officeDocument/2006/relationships/image" Target="media/image19.png"/><Relationship Id="rId2" Type="http://schemas.openxmlformats.org/officeDocument/2006/relationships/image" Target="media/image2.png"/><Relationship Id="rId20" Type="http://schemas.openxmlformats.org/officeDocument/2006/relationships/image" Target="media/image20.png"/><Relationship Id="rId21" Type="http://schemas.openxmlformats.org/officeDocument/2006/relationships/image" Target="media/image21.png"/><Relationship Id="rId22" Type="http://schemas.openxmlformats.org/officeDocument/2006/relationships/image" Target="media/image22.png"/><Relationship Id="rId3" Type="http://schemas.openxmlformats.org/officeDocument/2006/relationships/image" Target="media/image3.png"/><Relationship Id="rId4" Type="http://schemas.openxmlformats.org/officeDocument/2006/relationships/image" Target="media/image4.png"/><Relationship Id="rId5" Type="http://schemas.openxmlformats.org/officeDocument/2006/relationships/image" Target="media/image5.png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8.png"/><Relationship Id="rId9" Type="http://schemas.openxmlformats.org/officeDocument/2006/relationships/image" Target="media/image9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2025-12-15T01:40:13Z</dcterms:created>
  <dc:creator>Apache POI</dc:creator>
</cp:coreProperties>
</file>