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部署说明（Ph-MARL-Edu）</w:t>
      </w:r>
    </w:p>
    <w:p>
      <w:r>
        <w:t>面向对象：</w:t>
      </w:r>
      <w:r>
        <w:rPr>
          <w:b/>
        </w:rPr>
        <w:t>评审老师与需要在本机复现的部署者</w:t>
      </w:r>
      <w:r>
        <w:t>。</w:t>
      </w:r>
    </w:p>
    <w:p>
      <w:r>
        <w:t>按本文档操作，可在</w:t>
      </w:r>
      <w:r>
        <w:rPr>
          <w:b/>
        </w:rPr>
        <w:t>无网络、无第三方依赖</w:t>
      </w:r>
      <w:r>
        <w:t>的机器上完整跑通全流程；</w:t>
      </w:r>
    </w:p>
    <w:p>
      <w:r>
        <w:t>接入真实大模型只需额外设置三个环境变量。</w:t>
      </w:r>
    </w:p>
    <w:p>
      <w:r>
        <w:br w:type="page"/>
      </w:r>
    </w:p>
    <w:p>
      <w:pPr>
        <w:pStyle w:val="Heading2"/>
      </w:pPr>
      <w:r>
        <w:t>一、环境要求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项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要求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操作系统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Windows 10/11、Linux、macOS 均可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开发与验证环境为 Windows 11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Python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3.8 及以上</w:t>
            </w:r>
            <w:r>
              <w:rPr>
                <w:sz w:val="18"/>
              </w:rPr>
              <w:t>（开发环境 3.10 / 3.11）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只用标准库：</w:t>
            </w:r>
            <w:r>
              <w:rPr>
                <w:rFonts w:ascii="Consolas" w:hAnsi="Consolas"/>
                <w:sz w:val="18"/>
              </w:rPr>
              <w:t>json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sz w:val="18"/>
              </w:rPr>
              <w:t>re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sz w:val="18"/>
              </w:rPr>
              <w:t>math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sz w:val="18"/>
              </w:rPr>
              <w:t>collections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sz w:val="18"/>
              </w:rPr>
              <w:t>http.server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sz w:val="18"/>
              </w:rPr>
              <w:t>urllib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第三方依赖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无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不需要 </w:t>
            </w:r>
            <w:r>
              <w:rPr>
                <w:rFonts w:ascii="Consolas" w:hAnsi="Consolas"/>
                <w:sz w:val="18"/>
              </w:rPr>
              <w:t>pip install</w:t>
            </w:r>
            <w:r>
              <w:rPr>
                <w:sz w:val="18"/>
              </w:rPr>
              <w:t xml:space="preserve"> 任何包；不需要 GPU；不需要数据库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磁盘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&lt; 20 MB（含知识库、题库、画像、评测产物）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网络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仅 </w:t>
            </w:r>
            <w:r>
              <w:rPr>
                <w:rFonts w:ascii="Consolas" w:hAnsi="Consolas"/>
                <w:sz w:val="18"/>
              </w:rPr>
              <w:t>--backend openai</w:t>
            </w:r>
            <w:r>
              <w:rPr>
                <w:sz w:val="18"/>
              </w:rPr>
              <w:t xml:space="preserve"> 时需要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离线 mock 后端完全不需要网络</w:t>
            </w:r>
          </w:p>
        </w:tc>
      </w:tr>
    </w:tbl>
    <w:p/>
    <w:p>
      <w:pPr>
        <w:ind w:left="360"/>
      </w:pPr>
      <w:r>
        <w:rPr>
          <w:i/>
          <w:color w:val="555555"/>
        </w:rPr>
        <w:t>自带实现以便零依赖：BM25 检索、分词、Levenshtein 编辑距离、HTML 报告、HTTP 界面、OpenAI 兼容协议调用。</w:t>
      </w:r>
    </w:p>
    <w:p>
      <w:r>
        <w:br w:type="page"/>
      </w:r>
    </w:p>
    <w:p>
      <w:pPr>
        <w:pStyle w:val="Heading2"/>
      </w:pPr>
      <w:r>
        <w:t>二、部署步骤（离线，3 条命令）</w:t>
      </w:r>
    </w:p>
    <w:p>
      <w:pPr>
        <w:ind w:left="240"/>
      </w:pPr>
      <w:r>
        <w:rPr>
          <w:rFonts w:ascii="Consolas" w:hAnsi="Consolas"/>
          <w:sz w:val="17"/>
        </w:rPr>
        <w:t># 1) 取得代码后，进入项目根目录（此后所有命令都在此目录执行）</w:t>
        <w:br/>
        <w:t>cd Ph-MARL-Edu</w:t>
        <w:br/>
        <w:br/>
        <w:t># 2) 自检：跑单元测试，应显示 OK（171 条）</w:t>
        <w:br/>
        <w:t>python -m unittest discover -s tests</w:t>
        <w:br/>
        <w:br/>
        <w:t># 3) 跑通一个画像的完整闭环（产物落在 out/L001/）</w:t>
        <w:br/>
        <w:t>python run.py --profile L001</w:t>
      </w:r>
    </w:p>
    <w:p>
      <w:r>
        <w:t xml:space="preserve">看到 </w:t>
      </w:r>
      <w:r>
        <w:rPr>
          <w:rFonts w:ascii="Consolas" w:hAnsi="Consolas"/>
          <w:sz w:val="19"/>
        </w:rPr>
        <w:t>out/L001/report.html</w:t>
      </w:r>
      <w:r>
        <w:t xml:space="preserve"> 生成即可用浏览器打开；</w:t>
      </w:r>
      <w:r>
        <w:rPr>
          <w:rFonts w:ascii="Consolas" w:hAnsi="Consolas"/>
          <w:sz w:val="19"/>
        </w:rPr>
        <w:t>out/L001/resources.md</w:t>
      </w:r>
      <w:r>
        <w:t xml:space="preserve"> 是交付给学习者的资源。</w:t>
      </w:r>
    </w:p>
    <w:p>
      <w:pPr>
        <w:pStyle w:val="Heading3"/>
      </w:pPr>
      <w:r>
        <w:t>常用命令</w:t>
      </w:r>
    </w:p>
    <w:p>
      <w:pPr>
        <w:ind w:left="240"/>
      </w:pPr>
      <w:r>
        <w:rPr>
          <w:rFonts w:ascii="Consolas" w:hAnsi="Consolas"/>
          <w:sz w:val="17"/>
        </w:rPr>
        <w:t>python run.py --profile L001            # 单画像（默认 2 轮，每轮 2 个知识点）</w:t>
        <w:br/>
        <w:t>python run.py --all-profiles            # 三组画像全跑</w:t>
        <w:br/>
        <w:t>python run.py --profile L003 --rounds 3 --budget-kp 3 -v   # 更多轮次与细节输出</w:t>
        <w:br/>
        <w:t>python run.py --ui --port 8017          # 浏览器界面（http://127.0.0.1:8017）</w:t>
        <w:br/>
        <w:t>python run.py --profile L001 --full-comm      # 消融：关闭门控（全通信）</w:t>
        <w:br/>
        <w:t>python run.py --profile L001 --gate-threshold 0.8   # 调整门控阈值 τ</w:t>
        <w:br/>
        <w:t>python run.py --profile L001 --json     # 额外打印指标 JSON</w:t>
        <w:br/>
        <w:t>python eval/run_eval.py                 # 五组消融 + τ 扫描</w:t>
        <w:br/>
        <w:t>python eval/oracle_ceiling.py           # 适配率上界检验</w:t>
        <w:br/>
        <w:t>python tools/build_kb.py                # 由源数据重建知识库与题库（确定性，可复现）</w:t>
      </w:r>
    </w:p>
    <w:p>
      <w:r>
        <w:rPr>
          <w:rFonts w:ascii="Consolas" w:hAnsi="Consolas"/>
          <w:sz w:val="19"/>
        </w:rPr>
        <w:t>python run.py --help</w:t>
      </w:r>
      <w:r>
        <w:t xml:space="preserve"> 可列出全部参数。</w:t>
      </w:r>
    </w:p>
    <w:p>
      <w:r>
        <w:br w:type="page"/>
      </w:r>
    </w:p>
    <w:p>
      <w:pPr>
        <w:pStyle w:val="Heading2"/>
      </w:pPr>
      <w:r>
        <w:t>三、接入真实大模型（可选）</w:t>
      </w:r>
    </w:p>
    <w:p>
      <w:r>
        <w:t xml:space="preserve">系统使用 </w:t>
      </w:r>
      <w:r>
        <w:rPr>
          <w:b/>
        </w:rPr>
        <w:t>OpenAI 兼容接口</w:t>
      </w:r>
      <w:r>
        <w:t>，任何提供该协议的服务均可（OpenAI、Azure OpenAI、通义/DeepSeek/智谱等兼容网关、本地 vLLM/Ollama 的兼容端口）。</w:t>
      </w:r>
    </w:p>
    <w:p>
      <w:pPr>
        <w:ind w:left="240"/>
      </w:pPr>
      <w:r>
        <w:rPr>
          <w:rFonts w:ascii="Consolas" w:hAnsi="Consolas"/>
          <w:sz w:val="17"/>
        </w:rPr>
        <w:t># Windows PowerShell</w:t>
        <w:br/>
        <w:t>$env:PHMARL_LLM_API_KEY="sk-xxxxxxxx"</w:t>
        <w:br/>
        <w:t>$env:PHMARL_LLM_BASE_URL="https://api.openai.com/v1"     # 换成你的服务地址</w:t>
        <w:br/>
        <w:t>$env:PHMARL_LLM_MODEL="gpt-4o-mini"                      # 换成你的模型名</w:t>
        <w:br/>
        <w:t>python run.py --profile L001 --backend openai</w:t>
        <w:br/>
        <w:br/>
        <w:t># Linux / macOS / Git Bash</w:t>
        <w:br/>
        <w:t>export PHMARL_LLM_API_KEY=sk-xxxxxxxx</w:t>
        <w:br/>
        <w:t>export PHMARL_LLM_BASE_URL=https://api.openai.com/v1</w:t>
        <w:br/>
        <w:t>export PHMARL_LLM_MODEL=gpt-4o-mini</w:t>
        <w:br/>
        <w:t>python run.py --profile L001 --backend openai</w:t>
      </w:r>
    </w:p>
    <w:p>
      <w:r>
        <w:t>要点：</w:t>
      </w:r>
    </w:p>
    <w:p>
      <w:pPr>
        <w:pStyle w:val="ListBullet"/>
      </w:pPr>
      <w:r>
        <w:t xml:space="preserve">未设置 </w:t>
      </w:r>
      <w:r>
        <w:rPr>
          <w:rFonts w:ascii="Consolas" w:hAnsi="Consolas"/>
          <w:sz w:val="19"/>
        </w:rPr>
        <w:t>PHMARL_LLM_API_KEY</w:t>
      </w:r>
      <w:r>
        <w:t xml:space="preserve"> 时会</w:t>
      </w:r>
      <w:r>
        <w:rPr>
          <w:b/>
        </w:rPr>
        <w:t>明确报错并提示</w:t>
      </w:r>
      <w:r>
        <w:t xml:space="preserve">改用 </w:t>
      </w:r>
      <w:r>
        <w:rPr>
          <w:rFonts w:ascii="Consolas" w:hAnsi="Consolas"/>
          <w:sz w:val="19"/>
        </w:rPr>
        <w:t>--backend mock</w:t>
      </w:r>
      <w:r>
        <w:t>，不会静默降级；</w:t>
      </w:r>
    </w:p>
    <w:p>
      <w:pPr>
        <w:pStyle w:val="ListBullet"/>
      </w:pPr>
      <w:r>
        <w:t xml:space="preserve">真实后端下，报告与指标里会标注 </w:t>
      </w:r>
      <w:r>
        <w:rPr>
          <w:rFonts w:ascii="Consolas" w:hAnsi="Consolas"/>
          <w:sz w:val="19"/>
        </w:rPr>
        <w:t>后端: openai</w:t>
      </w:r>
      <w:r>
        <w:t>，与离线夹具结果区分开；</w:t>
      </w:r>
    </w:p>
    <w:p>
      <w:pPr>
        <w:pStyle w:val="ListBullet"/>
      </w:pPr>
      <w:r>
        <w:rPr>
          <w:b/>
        </w:rPr>
        <w:t>离线 mock 的幻觉率不能当作真实大模型的幻觉率</w:t>
      </w:r>
      <w:r>
        <w:t>（见 README §七），对外汇报的真实数值必须用真实后端复测；</w:t>
      </w:r>
    </w:p>
    <w:p>
      <w:pPr>
        <w:pStyle w:val="ListBullet"/>
      </w:pPr>
      <w:r>
        <w:t>限流/超时：接口失败会回退为"该条声明证据不足"的保守处置，不会伪造结论。</w:t>
      </w:r>
    </w:p>
    <w:p>
      <w:r>
        <w:br w:type="page"/>
      </w:r>
    </w:p>
    <w:p>
      <w:pPr>
        <w:pStyle w:val="Heading2"/>
      </w:pPr>
      <w:r>
        <w:t>四、复现评测结果</w:t>
      </w:r>
    </w:p>
    <w:p>
      <w:pPr>
        <w:ind w:left="240"/>
      </w:pPr>
      <w:r>
        <w:rPr>
          <w:rFonts w:ascii="Consolas" w:hAnsi="Consolas"/>
          <w:sz w:val="17"/>
        </w:rPr>
        <w:t>python -m unittest discover -s tests    # 期望：Ran 171 tests ... OK</w:t>
        <w:br/>
        <w:t>python eval/run_eval.py                 # 五组消融 + τ 扫描</w:t>
        <w:br/>
        <w:t>python eval/oracle_ceiling.py           # 适配率上界</w:t>
      </w:r>
    </w:p>
    <w:p>
      <w:r>
        <w:t>产物：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路径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out/eval/消融评测.md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消融报告（五组对照 + τ 扫描 + 逐画像明细 + 口径说明）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out/eval/eval_results.json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同一份结果的机器可读版本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out/eval/oracle_ceiling.json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适配率上界检验的表格数据</w:t>
            </w:r>
          </w:p>
        </w:tc>
      </w:tr>
    </w:tbl>
    <w:p/>
    <w:p>
      <w:r>
        <w:t>全部为</w:t>
      </w:r>
      <w:r>
        <w:rPr>
          <w:b/>
        </w:rPr>
        <w:t>确定性</w:t>
      </w:r>
      <w:r>
        <w:t>输出：同一条命令、同一台机器，重复执行结果一致（后端为确定性 mock，</w:t>
      </w:r>
    </w:p>
    <w:p>
      <w:r>
        <w:t>随机性由固定种子驱动）。</w:t>
      </w:r>
    </w:p>
    <w:p>
      <w:r>
        <w:br w:type="page"/>
      </w:r>
    </w:p>
    <w:p>
      <w:pPr>
        <w:pStyle w:val="Heading2"/>
      </w:pPr>
      <w:r>
        <w:t>五、常见问题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现象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原因与处理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控制台打印中文报 </w:t>
            </w:r>
            <w:r>
              <w:rPr>
                <w:rFonts w:ascii="Consolas" w:hAnsi="Consolas"/>
                <w:sz w:val="18"/>
              </w:rPr>
              <w:t>UnicodeEncodeError</w:t>
            </w:r>
            <w:r>
              <w:rPr>
                <w:sz w:val="18"/>
              </w:rPr>
              <w:t>（GBK 代码页）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Windows 旧代码页导致。设置 </w:t>
            </w:r>
            <w:r>
              <w:rPr>
                <w:rFonts w:ascii="Consolas" w:hAnsi="Consolas"/>
                <w:sz w:val="18"/>
              </w:rPr>
              <w:t>PYTHONIOENCODING=utf-8</w:t>
            </w:r>
            <w:r>
              <w:rPr>
                <w:sz w:val="18"/>
              </w:rPr>
              <w:t xml:space="preserve"> 后重跑；或 </w:t>
            </w:r>
            <w:r>
              <w:rPr>
                <w:rFonts w:ascii="Consolas" w:hAnsi="Consolas"/>
                <w:sz w:val="18"/>
              </w:rPr>
              <w:t>chcp 65001</w:t>
            </w:r>
            <w:r>
              <w:rPr>
                <w:sz w:val="18"/>
              </w:rPr>
              <w:t xml:space="preserve"> 切到 UTF-8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PowerShell 里 </w:t>
            </w:r>
            <w:r>
              <w:rPr>
                <w:rFonts w:ascii="Consolas" w:hAnsi="Consolas"/>
                <w:sz w:val="18"/>
              </w:rPr>
              <w:t>python run.py &gt; log.txt</w:t>
            </w:r>
            <w:r>
              <w:rPr>
                <w:sz w:val="18"/>
              </w:rPr>
              <w:t xml:space="preserve"> 得到 16 位宽的乱码文件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PowerShell 5.1 默认 UTF-16LE 重定向。加 </w:t>
            </w:r>
            <w:r>
              <w:rPr>
                <w:rFonts w:ascii="Consolas" w:hAnsi="Consolas"/>
                <w:sz w:val="18"/>
              </w:rPr>
              <w:t>PYTHONIOENCODING=utf-8</w:t>
            </w:r>
            <w:r>
              <w:rPr>
                <w:sz w:val="18"/>
              </w:rPr>
              <w:t>，或用 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Out-File -Encoding utf8`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python run.py --ui</w:t>
            </w:r>
            <w:r>
              <w:rPr>
                <w:sz w:val="18"/>
              </w:rPr>
              <w:t xml:space="preserve"> 打开后页面空白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端口被占用或代理拦截，换端口：</w:t>
            </w:r>
            <w:r>
              <w:rPr>
                <w:rFonts w:ascii="Consolas" w:hAnsi="Consolas"/>
                <w:sz w:val="18"/>
              </w:rPr>
              <w:t>--port 8020</w:t>
            </w:r>
            <w:r>
              <w:rPr>
                <w:sz w:val="18"/>
              </w:rPr>
              <w:t xml:space="preserve">，并确认访问的是 </w:t>
            </w:r>
            <w:r>
              <w:rPr>
                <w:rFonts w:ascii="Consolas" w:hAnsi="Consolas"/>
                <w:sz w:val="18"/>
              </w:rPr>
              <w:t>127.0.0.1</w:t>
            </w:r>
            <w:r>
              <w:rPr>
                <w:sz w:val="18"/>
              </w:rPr>
              <w:t xml:space="preserve"> 而非 </w:t>
            </w:r>
            <w:r>
              <w:rPr>
                <w:rFonts w:ascii="Consolas" w:hAnsi="Consolas"/>
                <w:sz w:val="18"/>
              </w:rPr>
              <w:t>localhost</w:t>
            </w:r>
            <w:r>
              <w:rPr>
                <w:sz w:val="18"/>
              </w:rPr>
              <w:t xml:space="preserve"> 代理地址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接真实后端报 401/404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检查 key、base url 是否包含 </w:t>
            </w:r>
            <w:r>
              <w:rPr>
                <w:rFonts w:ascii="Consolas" w:hAnsi="Consolas"/>
                <w:sz w:val="18"/>
              </w:rPr>
              <w:t>/v1</w:t>
            </w:r>
            <w:r>
              <w:rPr>
                <w:sz w:val="18"/>
              </w:rPr>
              <w:t xml:space="preserve">、模型名是否与服务一致；先用 </w:t>
            </w:r>
            <w:r>
              <w:rPr>
                <w:rFonts w:ascii="Consolas" w:hAnsi="Consolas"/>
                <w:sz w:val="18"/>
              </w:rPr>
              <w:t>--backend mock</w:t>
            </w:r>
            <w:r>
              <w:rPr>
                <w:sz w:val="18"/>
              </w:rPr>
              <w:t xml:space="preserve"> 确认链路本身正常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想换领域知识库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改 </w:t>
            </w:r>
            <w:r>
              <w:rPr>
                <w:rFonts w:ascii="Consolas" w:hAnsi="Consolas"/>
                <w:sz w:val="18"/>
              </w:rPr>
              <w:t>tools/build_kb.py</w:t>
            </w:r>
            <w:r>
              <w:rPr>
                <w:sz w:val="18"/>
              </w:rPr>
              <w:t xml:space="preserve"> 的数据源并重跑；同时需重新标定难度支撑系数（</w:t>
            </w:r>
            <w:r>
              <w:rPr>
                <w:rFonts w:ascii="Consolas" w:hAnsi="Consolas"/>
                <w:sz w:val="18"/>
              </w:rPr>
              <w:t>engine/orchestrator.py::DIFF_FACTOR</w:t>
            </w:r>
            <w:r>
              <w:rPr>
                <w:sz w:val="18"/>
              </w:rPr>
              <w:t>），依据见该处注释</w:t>
            </w:r>
          </w:p>
        </w:tc>
        <w:tc>
          <w:tcPr>
            <w:tcW w:type="dxa" w:w="2880"/>
          </w:tcPr>
          <w:p/>
        </w:tc>
      </w:tr>
    </w:tbl>
    <w:p/>
    <w:p>
      <w:r>
        <w:br w:type="page"/>
      </w:r>
    </w:p>
    <w:p>
      <w:pPr>
        <w:pStyle w:val="Heading2"/>
      </w:pPr>
      <w:r>
        <w:t>六、交付物对照（评审用）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榜题要求的交付物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对应位置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方案文档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作品设计实现方案_v2.1_20260921.docx</w:t>
            </w:r>
            <w:r>
              <w:rPr>
                <w:sz w:val="18"/>
              </w:rPr>
              <w:t>（本仓库同级交付目录；含第七、八节的实测值与口径边界）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作品介绍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Ph-MARL_作品介绍_v2.1_20260921.pptx</w:t>
            </w:r>
            <w:r>
              <w:rPr>
                <w:sz w:val="18"/>
              </w:rPr>
              <w:t>（15 页）、</w:t>
            </w:r>
            <w:r>
              <w:rPr>
                <w:rFonts w:ascii="Consolas" w:hAnsi="Consolas"/>
                <w:sz w:val="18"/>
              </w:rPr>
              <w:t>内容简介与作品介绍_改写稿_v2.1_20260921.docx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演示视频（≤10 分钟）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视频脚本见 </w:t>
            </w:r>
            <w:r>
              <w:rPr>
                <w:rFonts w:ascii="Consolas" w:hAnsi="Consolas"/>
                <w:sz w:val="18"/>
              </w:rPr>
              <w:t>docs/演示视频脚本.md</w:t>
            </w:r>
            <w:r>
              <w:rPr>
                <w:sz w:val="18"/>
              </w:rPr>
              <w:t xml:space="preserve">，录制产物为 </w:t>
            </w:r>
            <w:r>
              <w:rPr>
                <w:rFonts w:ascii="Consolas" w:hAnsi="Consolas"/>
                <w:sz w:val="18"/>
              </w:rPr>
              <w:t>demo.mp4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源代码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本仓库（</w:t>
            </w:r>
            <w:r>
              <w:rPr>
                <w:rFonts w:ascii="Consolas" w:hAnsi="Consolas"/>
                <w:sz w:val="18"/>
              </w:rPr>
              <w:t>run.py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engine/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eval/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tools/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tests/</w:t>
            </w:r>
            <w:r>
              <w:rPr>
                <w:sz w:val="18"/>
              </w:rPr>
              <w:t>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部署说明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本文档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单元测试用例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tests/test_engine.py</w:t>
            </w:r>
            <w:r>
              <w:rPr>
                <w:sz w:val="18"/>
              </w:rPr>
              <w:t>（171 条，</w:t>
            </w:r>
            <w:r>
              <w:rPr>
                <w:rFonts w:ascii="Consolas" w:hAnsi="Consolas"/>
                <w:sz w:val="18"/>
              </w:rPr>
              <w:t>python -m unittest discover -s tests</w:t>
            </w:r>
            <w:r>
              <w:rPr>
                <w:sz w:val="18"/>
              </w:rPr>
              <w:t xml:space="preserve"> 一键运行）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知识库切片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kb/domain_kb.jsonl</w:t>
            </w:r>
            <w:r>
              <w:rPr>
                <w:sz w:val="18"/>
              </w:rPr>
              <w:t>（34 个知识点条目 / 23 来源；条目内另含 128 个细粒度知识元标签，用于审核检索）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等线" w:eastAsia="等线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等线" w:hAnsi="等线"/>
      <w:b/>
      <w:bCs/>
      <w:color w:val="1F3B5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等线" w:hAnsi="等线"/>
      <w:b/>
      <w:bCs/>
      <w:color w:val="1F3B5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等线" w:hAnsi="等线"/>
      <w:b/>
      <w:bCs/>
      <w:color w:val="1F3B5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