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DSC1111</w:t>
      </w:r>
    </w:p>
    <w:p w:rsidR="00000000" w:rsidDel="00000000" w:rsidP="00000000" w:rsidRDefault="00000000" w:rsidRPr="00000000" w14:paraId="00000002">
      <w:pPr>
        <w:rPr/>
      </w:pPr>
      <w:r w:rsidDel="00000000" w:rsidR="00000000" w:rsidRPr="00000000">
        <w:rPr>
          <w:rtl w:val="0"/>
        </w:rPr>
        <w:t xml:space="preserve">Formative Assessment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Zion John Yousef T. Ramilo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 learned that table calculations are useful when you do not necessarily have the raw measurement itself; however, you are able to use the features or measurements that you currently have in order to create new measurements that would enable a better inference and analysis of the data.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most insightful calculation that was the most insightful at least from the standpoint of a stakeholder or an owner of a business it would be the profit rate and the difference between sales in a monthly basis, this is because as a stakeholder you are able too derive how much you are profiting from your products as time and orders increase. On the other hand, knowing the differences in sales by months, you are easily able to identify key seasonalities and timelines where your sales are high and low.</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 faced a challenge in trying to identify do I have to create a calculated field or am I able to create the calculations through a table calculation. Where I resolve them through identifying which are possible through a normal addition of a table calculation, while complicated calculations are derived through creating a new calculated field.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 hope to use this as a way to provide further insights into the data and how we can visualize the change in performance and outcome of the business. This is very useful, especially when we need to show another perspective of the data, and we won’t just be relying on raw measurements for our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