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59669"/>
          <w:sz w:val="19"/>
        </w:rPr>
        <w:t>OBJECT-ORIENTED PROGRAMMING (OOP) LABORATORY ASSIGNMENT &amp; REPORT</w:t>
      </w:r>
    </w:p>
    <w:p>
      <w:pPr>
        <w:jc w:val="center"/>
      </w:pPr>
      <w:r>
        <w:rPr>
          <w:rFonts w:ascii="Calibri" w:hAnsi="Calibri"/>
          <w:b/>
          <w:color w:val="0F172A"/>
          <w:sz w:val="48"/>
        </w:rPr>
        <w:t>PharmaCare — Enterprise Pharmacy &amp; Inventory System</w:t>
      </w:r>
    </w:p>
    <w:p>
      <w:pPr>
        <w:jc w:val="center"/>
      </w:pPr>
      <w:r>
        <w:rPr>
          <w:rFonts w:ascii="Calibri" w:hAnsi="Calibri"/>
          <w:i/>
          <w:color w:val="64748B"/>
          <w:sz w:val="23"/>
        </w:rPr>
        <w:t>Production-Grade Object-Oriented Pharmacy Management with Compiled C++ Core &amp; Real-Time Desktop UI</w:t>
      </w:r>
    </w:p>
    <w:p>
      <w:pPr>
        <w:jc w:val="center"/>
      </w:pPr>
      <w:r>
        <w:rPr>
          <w:rFonts w:ascii="Calibri" w:hAnsi="Calibri"/>
          <w:color w:val="059669"/>
          <w:sz w:val="18"/>
        </w:rPr>
        <w:t>C++11/14/17  •  MinGW GCC  •  3NF Database Architecture  •  Runtime Polymorphism  •  Patient Safety Gate</w:t>
      </w:r>
    </w:p>
    <w:p>
      <w:pPr>
        <w:spacing w:after="160"/>
      </w:pPr>
    </w:p>
    <w:p>
      <w:pPr>
        <w:spacing w:after="80"/>
        <w:jc w:val="center"/>
      </w:pPr>
    </w:p>
    <w:p>
      <w:r>
        <w:drawing>
          <wp:inline xmlns:a="http://schemas.openxmlformats.org/drawingml/2006/main" xmlns:pic="http://schemas.openxmlformats.org/drawingml/2006/picture">
            <wp:extent cx="5669280" cy="3183434"/>
            <wp:docPr id="1" name="Picture 1"/>
            <wp:cNvGraphicFramePr>
              <a:graphicFrameLocks noChangeAspect="1"/>
            </wp:cNvGraphicFramePr>
            <a:graphic>
              <a:graphicData uri="http://schemas.openxmlformats.org/drawingml/2006/picture">
                <pic:pic>
                  <pic:nvPicPr>
                    <pic:cNvPr id="0" name="pharmacare_dashboard.png"/>
                    <pic:cNvPicPr/>
                  </pic:nvPicPr>
                  <pic:blipFill>
                    <a:blip r:embed="rId9"/>
                    <a:stretch>
                      <a:fillRect/>
                    </a:stretch>
                  </pic:blipFill>
                  <pic:spPr>
                    <a:xfrm>
                      <a:off x="0" y="0"/>
                      <a:ext cx="5669280" cy="3183434"/>
                    </a:xfrm>
                    <a:prstGeom prst="rect"/>
                  </pic:spPr>
                </pic:pic>
              </a:graphicData>
            </a:graphic>
          </wp:inline>
        </w:drawing>
      </w:r>
    </w:p>
    <w:p>
      <w:pPr>
        <w:spacing w:after="320"/>
        <w:jc w:val="center"/>
      </w:pPr>
      <w:r>
        <w:rPr>
          <w:rFonts w:ascii="Calibri" w:hAnsi="Calibri"/>
          <w:i/>
          <w:color w:val="64748B"/>
          <w:sz w:val="17"/>
        </w:rPr>
        <w:t>Figure 1: PharmaCare Modern Minimalist Desktop Cockpit &amp; C++ Engine Bridge</w:t>
      </w:r>
    </w:p>
    <w:p>
      <w:pPr>
        <w:pStyle w:val="Heading1"/>
      </w:pPr>
      <w:r>
        <w:rPr>
          <w:rFonts w:ascii="Calibri" w:hAnsi="Calibri"/>
          <w:b/>
          <w:color w:val="0F172A"/>
        </w:rPr>
        <w:t>1. Project Overview &amp; Clinical Vision</w:t>
      </w:r>
    </w:p>
    <w:p>
      <w:pPr>
        <w:spacing w:after="200"/>
      </w:pPr>
      <w:r>
        <w:t>PharmaCare is a comprehensive Object-Oriented C++ application designed for pharmacies, hospital dispensaries, and medical distributors. Traditional academic inventory scripts often group drug specifications and stock quantities into single flat records, failing to model real-world multi-batch storage and allowing expired drugs to be dispensed. PharmaCare resolves this by implementing strict product-vs-shelf separation (Third Normal Form), automated early expiry detection, dynamic runtime polymorphism, and an unbypassable Patient Safety Gate enforced directly at the compiled C++ class level.</w:t>
      </w:r>
    </w:p>
    <w:p>
      <w:pPr>
        <w:pStyle w:val="ListBullet"/>
        <w:spacing w:after="60"/>
      </w:pPr>
      <w:r>
        <w:rPr>
          <w:b/>
          <w:color w:val="0F172A"/>
        </w:rPr>
        <w:t xml:space="preserve">Automated Patient Safety Gate: </w:t>
      </w:r>
      <w:r>
        <w:rPr>
          <w:color w:val="1E293B"/>
        </w:rPr>
        <w:t>Intercepts expired batches at the method level using StockItem::isExpired(), preventing dispensary errors.</w:t>
      </w:r>
    </w:p>
    <w:p>
      <w:pPr>
        <w:pStyle w:val="ListBullet"/>
        <w:spacing w:after="60"/>
      </w:pPr>
      <w:r>
        <w:rPr>
          <w:b/>
          <w:color w:val="0F172A"/>
        </w:rPr>
        <w:t xml:space="preserve">Multi-Batch Relational Tracking: </w:t>
      </w:r>
      <w:r>
        <w:rPr>
          <w:color w:val="1E293B"/>
        </w:rPr>
        <w:t>Supports dozens of distinct physical shelf batches with individual lot numbers, manufacturing dates, and costs for the same medicine.</w:t>
      </w:r>
    </w:p>
    <w:p>
      <w:pPr>
        <w:pStyle w:val="ListBullet"/>
        <w:spacing w:after="60"/>
      </w:pPr>
      <w:r>
        <w:rPr>
          <w:b/>
          <w:color w:val="0F172A"/>
        </w:rPr>
        <w:t xml:space="preserve">Polymorphic Formulation Catalog: </w:t>
      </w:r>
      <w:r>
        <w:rPr>
          <w:color w:val="1E293B"/>
        </w:rPr>
        <w:t>Models specialized dosage formats (Tablets, Syrups, Injections) through runtime polymorphic dispatch and virtual functions.</w:t>
      </w:r>
    </w:p>
    <w:p>
      <w:pPr>
        <w:pStyle w:val="ListBullet"/>
        <w:spacing w:after="60"/>
      </w:pPr>
      <w:r>
        <w:rPr>
          <w:b/>
          <w:color w:val="0F172A"/>
        </w:rPr>
        <w:t xml:space="preserve">Dual-Interface Architecture: </w:t>
      </w:r>
      <w:r>
        <w:rPr>
          <w:color w:val="1E293B"/>
        </w:rPr>
        <w:t>Features both an interactive compiled console CLI and a real-time minimalist desktop application connected via IPC.</w:t>
      </w:r>
    </w:p>
    <w:p>
      <w:pPr>
        <w:spacing w:after="160"/>
      </w:pPr>
    </w:p>
    <w:p>
      <w:pPr>
        <w:pStyle w:val="Heading1"/>
      </w:pPr>
      <w:r>
        <w:rPr>
          <w:rFonts w:ascii="Calibri" w:hAnsi="Calibri"/>
          <w:b/>
          <w:color w:val="0F172A"/>
        </w:rPr>
        <w:t>2. The 3-File Relational Architecture (3NF)</w:t>
      </w:r>
    </w:p>
    <w:p>
      <w:pPr>
        <w:spacing w:after="160"/>
      </w:pPr>
      <w:r>
        <w:t>To adhere strictly to professional database standards within an OOP framework, PharmaCare decomposes the system into an industry-standard 3-File Architecture adhering to Third Normal Form (3NF):</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172A"/>
            <w:tcMar>
              <w:top w:w="100" w:type="dxa"/>
              <w:bottom w:w="100" w:type="dxa"/>
              <w:left w:w="120" w:type="dxa"/>
              <w:right w:w="120" w:type="dxa"/>
            </w:tcMar>
          </w:tcPr>
          <w:p>
            <w:r>
              <w:rPr>
                <w:b/>
                <w:color w:val="FFFFFF"/>
                <w:sz w:val="19"/>
              </w:rPr>
              <w:t>Table / File</w:t>
            </w:r>
          </w:p>
        </w:tc>
        <w:tc>
          <w:tcPr>
            <w:tcW w:type="dxa" w:w="2592"/>
            <w:shd w:fill="0F172A"/>
            <w:tcMar>
              <w:top w:w="100" w:type="dxa"/>
              <w:bottom w:w="100" w:type="dxa"/>
              <w:left w:w="120" w:type="dxa"/>
              <w:right w:w="120" w:type="dxa"/>
            </w:tcMar>
          </w:tcPr>
          <w:p>
            <w:r>
              <w:rPr>
                <w:b/>
                <w:color w:val="FFFFFF"/>
                <w:sz w:val="19"/>
              </w:rPr>
              <w:t>Primary &amp; Foreign Keys</w:t>
            </w:r>
          </w:p>
        </w:tc>
        <w:tc>
          <w:tcPr>
            <w:tcW w:type="dxa" w:w="3744"/>
            <w:shd w:fill="0F172A"/>
            <w:tcMar>
              <w:top w:w="100" w:type="dxa"/>
              <w:bottom w:w="100" w:type="dxa"/>
              <w:left w:w="120" w:type="dxa"/>
              <w:right w:w="120" w:type="dxa"/>
            </w:tcMar>
          </w:tcPr>
          <w:p>
            <w:r>
              <w:rPr>
                <w:b/>
                <w:color w:val="FFFFFF"/>
                <w:sz w:val="19"/>
              </w:rPr>
              <w:t>Stored Attributes &amp; Real-World Role</w:t>
            </w:r>
          </w:p>
        </w:tc>
      </w:tr>
      <w:tr>
        <w:tc>
          <w:tcPr>
            <w:tcW w:type="dxa" w:w="2592"/>
            <w:shd w:fill="F8FAFC"/>
            <w:tcMar>
              <w:top w:w="80" w:type="dxa"/>
              <w:bottom w:w="80" w:type="dxa"/>
              <w:left w:w="100" w:type="dxa"/>
              <w:right w:w="100" w:type="dxa"/>
            </w:tcMar>
          </w:tcPr>
          <w:p>
            <w:r>
              <w:rPr>
                <w:color w:val="1E293B"/>
                <w:sz w:val="17"/>
              </w:rPr>
              <w:t>pharma_medicines.txt</w:t>
              <w:br/>
              <w:t>(Product Master)</w:t>
            </w:r>
          </w:p>
        </w:tc>
        <w:tc>
          <w:tcPr>
            <w:tcW w:type="dxa" w:w="2592"/>
            <w:shd w:fill="FFFFFF"/>
            <w:tcMar>
              <w:top w:w="80" w:type="dxa"/>
              <w:bottom w:w="80" w:type="dxa"/>
              <w:left w:w="100" w:type="dxa"/>
              <w:right w:w="100" w:type="dxa"/>
            </w:tcMar>
          </w:tcPr>
          <w:p>
            <w:r>
              <w:rPr>
                <w:color w:val="1E293B"/>
                <w:sz w:val="17"/>
              </w:rPr>
              <w:t>PK: MedicineID (e.g. M001)</w:t>
            </w:r>
          </w:p>
        </w:tc>
        <w:tc>
          <w:tcPr>
            <w:tcW w:type="dxa" w:w="3744"/>
            <w:shd w:fill="FFFFFF"/>
            <w:tcMar>
              <w:top w:w="80" w:type="dxa"/>
              <w:bottom w:w="80" w:type="dxa"/>
              <w:left w:w="100" w:type="dxa"/>
              <w:right w:w="100" w:type="dxa"/>
            </w:tcMar>
          </w:tcPr>
          <w:p>
            <w:r>
              <w:rPr>
                <w:color w:val="1E293B"/>
                <w:sz w:val="17"/>
              </w:rPr>
              <w:t>Commercial drug name, manufacturer, base unit price, formulation type (Tablet, Syrup, Injection), strength/dosage specs.</w:t>
            </w:r>
          </w:p>
        </w:tc>
      </w:tr>
      <w:tr>
        <w:tc>
          <w:tcPr>
            <w:tcW w:type="dxa" w:w="2592"/>
            <w:shd w:fill="F8FAFC"/>
            <w:tcMar>
              <w:top w:w="80" w:type="dxa"/>
              <w:bottom w:w="80" w:type="dxa"/>
              <w:left w:w="100" w:type="dxa"/>
              <w:right w:w="100" w:type="dxa"/>
            </w:tcMar>
          </w:tcPr>
          <w:p>
            <w:r>
              <w:rPr>
                <w:color w:val="1E293B"/>
                <w:sz w:val="17"/>
              </w:rPr>
              <w:t>pharma_inventory.txt</w:t>
              <w:br/>
              <w:t>(Physical Batches)</w:t>
            </w:r>
          </w:p>
        </w:tc>
        <w:tc>
          <w:tcPr>
            <w:tcW w:type="dxa" w:w="2592"/>
            <w:shd w:fill="FFFFFF"/>
            <w:tcMar>
              <w:top w:w="80" w:type="dxa"/>
              <w:bottom w:w="80" w:type="dxa"/>
              <w:left w:w="100" w:type="dxa"/>
              <w:right w:w="100" w:type="dxa"/>
            </w:tcMar>
          </w:tcPr>
          <w:p>
            <w:r>
              <w:rPr>
                <w:color w:val="1E293B"/>
                <w:sz w:val="17"/>
              </w:rPr>
              <w:t>PK: StockID (e.g. STK001)</w:t>
              <w:br/>
              <w:t>FK: MedicineID, SupplierID</w:t>
            </w:r>
          </w:p>
        </w:tc>
        <w:tc>
          <w:tcPr>
            <w:tcW w:type="dxa" w:w="3744"/>
            <w:shd w:fill="FFFFFF"/>
            <w:tcMar>
              <w:top w:w="80" w:type="dxa"/>
              <w:bottom w:w="80" w:type="dxa"/>
              <w:left w:w="100" w:type="dxa"/>
              <w:right w:w="100" w:type="dxa"/>
            </w:tcMar>
          </w:tcPr>
          <w:p>
            <w:r>
              <w:rPr>
                <w:color w:val="1E293B"/>
                <w:sz w:val="17"/>
              </w:rPr>
              <w:t>Physical lot number, current stock quantity, manufacturing date, expiration date, safety threshold limit.</w:t>
            </w:r>
          </w:p>
        </w:tc>
      </w:tr>
      <w:tr>
        <w:tc>
          <w:tcPr>
            <w:tcW w:type="dxa" w:w="2592"/>
            <w:shd w:fill="F8FAFC"/>
            <w:tcMar>
              <w:top w:w="80" w:type="dxa"/>
              <w:bottom w:w="80" w:type="dxa"/>
              <w:left w:w="100" w:type="dxa"/>
              <w:right w:w="100" w:type="dxa"/>
            </w:tcMar>
          </w:tcPr>
          <w:p>
            <w:r>
              <w:rPr>
                <w:color w:val="1E293B"/>
                <w:sz w:val="17"/>
              </w:rPr>
              <w:t>pharma_suppliers.txt</w:t>
              <w:br/>
              <w:t>(Supplier Registry)</w:t>
            </w:r>
          </w:p>
        </w:tc>
        <w:tc>
          <w:tcPr>
            <w:tcW w:type="dxa" w:w="2592"/>
            <w:shd w:fill="FFFFFF"/>
            <w:tcMar>
              <w:top w:w="80" w:type="dxa"/>
              <w:bottom w:w="80" w:type="dxa"/>
              <w:left w:w="100" w:type="dxa"/>
              <w:right w:w="100" w:type="dxa"/>
            </w:tcMar>
          </w:tcPr>
          <w:p>
            <w:r>
              <w:rPr>
                <w:color w:val="1E293B"/>
                <w:sz w:val="17"/>
              </w:rPr>
              <w:t>PK: SupplierID (e.g. SUP001)</w:t>
            </w:r>
          </w:p>
        </w:tc>
        <w:tc>
          <w:tcPr>
            <w:tcW w:type="dxa" w:w="3744"/>
            <w:shd w:fill="FFFFFF"/>
            <w:tcMar>
              <w:top w:w="80" w:type="dxa"/>
              <w:bottom w:w="80" w:type="dxa"/>
              <w:left w:w="100" w:type="dxa"/>
              <w:right w:w="100" w:type="dxa"/>
            </w:tcMar>
          </w:tcPr>
          <w:p>
            <w:r>
              <w:rPr>
                <w:color w:val="1E293B"/>
                <w:sz w:val="17"/>
              </w:rPr>
              <w:t>Company enterprise name, representative contact name, phone, email, registered warehouse address.</w:t>
            </w:r>
          </w:p>
        </w:tc>
      </w:tr>
    </w:tbl>
    <w:p>
      <w:pPr>
        <w:spacing w:after="240"/>
      </w:pPr>
    </w:p>
    <w:p>
      <w:pPr>
        <w:pStyle w:val="Heading1"/>
      </w:pPr>
      <w:r>
        <w:rPr>
          <w:rFonts w:ascii="Calibri" w:hAnsi="Calibri"/>
          <w:b/>
          <w:color w:val="0F172A"/>
        </w:rPr>
        <w:t>3. Object-Oriented Programming (OOP) Implementation</w:t>
      </w:r>
    </w:p>
    <w:p>
      <w:pPr>
        <w:spacing w:after="160"/>
      </w:pPr>
      <w:r>
        <w:t>PharmaCare demonstrates all foundational and advanced pillars of Object-Oriented design:</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059669"/>
            <w:tcMar>
              <w:top w:w="100" w:type="dxa"/>
              <w:bottom w:w="100" w:type="dxa"/>
              <w:left w:w="120" w:type="dxa"/>
              <w:right w:w="120" w:type="dxa"/>
            </w:tcMar>
          </w:tcPr>
          <w:p>
            <w:r>
              <w:rPr>
                <w:b/>
                <w:color w:val="FFFFFF"/>
                <w:sz w:val="19"/>
              </w:rPr>
              <w:t>OOP Concept</w:t>
            </w:r>
          </w:p>
        </w:tc>
        <w:tc>
          <w:tcPr>
            <w:tcW w:type="dxa" w:w="3168"/>
            <w:shd w:fill="059669"/>
            <w:tcMar>
              <w:top w:w="100" w:type="dxa"/>
              <w:bottom w:w="100" w:type="dxa"/>
              <w:left w:w="120" w:type="dxa"/>
              <w:right w:w="120" w:type="dxa"/>
            </w:tcMar>
          </w:tcPr>
          <w:p>
            <w:r>
              <w:rPr>
                <w:b/>
                <w:color w:val="FFFFFF"/>
                <w:sz w:val="19"/>
              </w:rPr>
              <w:t>C++ Engine Implementation</w:t>
            </w:r>
          </w:p>
        </w:tc>
        <w:tc>
          <w:tcPr>
            <w:tcW w:type="dxa" w:w="3600"/>
            <w:shd w:fill="059669"/>
            <w:tcMar>
              <w:top w:w="100" w:type="dxa"/>
              <w:bottom w:w="100" w:type="dxa"/>
              <w:left w:w="120" w:type="dxa"/>
              <w:right w:w="120" w:type="dxa"/>
            </w:tcMar>
          </w:tcPr>
          <w:p>
            <w:r>
              <w:rPr>
                <w:b/>
                <w:color w:val="FFFFFF"/>
                <w:sz w:val="19"/>
              </w:rPr>
              <w:t>Real-World Purpose in Pharmacy</w:t>
            </w:r>
          </w:p>
        </w:tc>
      </w:tr>
      <w:tr>
        <w:tc>
          <w:tcPr>
            <w:tcW w:type="dxa" w:w="2160"/>
            <w:shd w:fill="F8FAFC"/>
            <w:tcMar>
              <w:top w:w="80" w:type="dxa"/>
              <w:bottom w:w="80" w:type="dxa"/>
              <w:left w:w="100" w:type="dxa"/>
              <w:right w:w="100" w:type="dxa"/>
            </w:tcMar>
          </w:tcPr>
          <w:p>
            <w:r>
              <w:rPr>
                <w:color w:val="1E293B"/>
                <w:sz w:val="17"/>
              </w:rPr>
              <w:t>Encapsulation &amp; Data Hiding</w:t>
            </w:r>
          </w:p>
        </w:tc>
        <w:tc>
          <w:tcPr>
            <w:tcW w:type="dxa" w:w="3168"/>
            <w:shd w:fill="FFFFFF"/>
            <w:tcMar>
              <w:top w:w="80" w:type="dxa"/>
              <w:bottom w:w="80" w:type="dxa"/>
              <w:left w:w="100" w:type="dxa"/>
              <w:right w:w="100" w:type="dxa"/>
            </w:tcMar>
          </w:tcPr>
          <w:p>
            <w:r>
              <w:rPr>
                <w:color w:val="1E293B"/>
                <w:sz w:val="17"/>
              </w:rPr>
              <w:t>Private attributes (m_quantity, m_price) with validated mutators deductStock(), addStock().</w:t>
            </w:r>
          </w:p>
        </w:tc>
        <w:tc>
          <w:tcPr>
            <w:tcW w:type="dxa" w:w="3600"/>
            <w:shd w:fill="FFFFFF"/>
            <w:tcMar>
              <w:top w:w="80" w:type="dxa"/>
              <w:bottom w:w="80" w:type="dxa"/>
              <w:left w:w="100" w:type="dxa"/>
              <w:right w:w="100" w:type="dxa"/>
            </w:tcMar>
          </w:tcPr>
          <w:p>
            <w:r>
              <w:rPr>
                <w:color w:val="1E293B"/>
                <w:sz w:val="17"/>
              </w:rPr>
              <w:t>Guarantees no invalid stock states, negative inventory counts, or arbitrary price corruption.</w:t>
            </w:r>
          </w:p>
        </w:tc>
      </w:tr>
      <w:tr>
        <w:tc>
          <w:tcPr>
            <w:tcW w:type="dxa" w:w="2160"/>
            <w:shd w:fill="F8FAFC"/>
            <w:tcMar>
              <w:top w:w="80" w:type="dxa"/>
              <w:bottom w:w="80" w:type="dxa"/>
              <w:left w:w="100" w:type="dxa"/>
              <w:right w:w="100" w:type="dxa"/>
            </w:tcMar>
          </w:tcPr>
          <w:p>
            <w:r>
              <w:rPr>
                <w:color w:val="1E293B"/>
                <w:sz w:val="17"/>
              </w:rPr>
              <w:t>Inheritance Hierarchy</w:t>
            </w:r>
          </w:p>
        </w:tc>
        <w:tc>
          <w:tcPr>
            <w:tcW w:type="dxa" w:w="3168"/>
            <w:shd w:fill="FFFFFF"/>
            <w:tcMar>
              <w:top w:w="80" w:type="dxa"/>
              <w:bottom w:w="80" w:type="dxa"/>
              <w:left w:w="100" w:type="dxa"/>
              <w:right w:w="100" w:type="dxa"/>
            </w:tcMar>
          </w:tcPr>
          <w:p>
            <w:r>
              <w:rPr>
                <w:color w:val="1E293B"/>
                <w:sz w:val="17"/>
              </w:rPr>
              <w:t>Person -&gt; Supplier, Customer</w:t>
              <w:br/>
              <w:t>Medicine -&gt; Tablet, Syrup, Injection</w:t>
              <w:br/>
              <w:t>Alert -&gt; ExpiryAlert, LowStockAlert</w:t>
            </w:r>
          </w:p>
        </w:tc>
        <w:tc>
          <w:tcPr>
            <w:tcW w:type="dxa" w:w="3600"/>
            <w:shd w:fill="FFFFFF"/>
            <w:tcMar>
              <w:top w:w="80" w:type="dxa"/>
              <w:bottom w:w="80" w:type="dxa"/>
              <w:left w:w="100" w:type="dxa"/>
              <w:right w:w="100" w:type="dxa"/>
            </w:tcMar>
          </w:tcPr>
          <w:p>
            <w:r>
              <w:rPr>
                <w:color w:val="1E293B"/>
                <w:sz w:val="17"/>
              </w:rPr>
              <w:t>Eliminates duplicate code and structures clear specialized domains across entity categories.</w:t>
            </w:r>
          </w:p>
        </w:tc>
      </w:tr>
      <w:tr>
        <w:tc>
          <w:tcPr>
            <w:tcW w:type="dxa" w:w="2160"/>
            <w:shd w:fill="F8FAFC"/>
            <w:tcMar>
              <w:top w:w="80" w:type="dxa"/>
              <w:bottom w:w="80" w:type="dxa"/>
              <w:left w:w="100" w:type="dxa"/>
              <w:right w:w="100" w:type="dxa"/>
            </w:tcMar>
          </w:tcPr>
          <w:p>
            <w:r>
              <w:rPr>
                <w:color w:val="1E293B"/>
                <w:sz w:val="17"/>
              </w:rPr>
              <w:t>Dynamic Polymorphism</w:t>
            </w:r>
          </w:p>
        </w:tc>
        <w:tc>
          <w:tcPr>
            <w:tcW w:type="dxa" w:w="3168"/>
            <w:shd w:fill="FFFFFF"/>
            <w:tcMar>
              <w:top w:w="80" w:type="dxa"/>
              <w:bottom w:w="80" w:type="dxa"/>
              <w:left w:w="100" w:type="dxa"/>
              <w:right w:w="100" w:type="dxa"/>
            </w:tcMar>
          </w:tcPr>
          <w:p>
            <w:r>
              <w:rPr>
                <w:color w:val="1E293B"/>
                <w:sz w:val="17"/>
              </w:rPr>
              <w:t>Base pointers: vector&lt;Medicine*&gt;, vector&lt;Alert*&gt;, virtual getType(), getUsageInstructions().</w:t>
            </w:r>
          </w:p>
        </w:tc>
        <w:tc>
          <w:tcPr>
            <w:tcW w:type="dxa" w:w="3600"/>
            <w:shd w:fill="FFFFFF"/>
            <w:tcMar>
              <w:top w:w="80" w:type="dxa"/>
              <w:bottom w:w="80" w:type="dxa"/>
              <w:left w:w="100" w:type="dxa"/>
              <w:right w:w="100" w:type="dxa"/>
            </w:tcMar>
          </w:tcPr>
          <w:p>
            <w:r>
              <w:rPr>
                <w:color w:val="1E293B"/>
                <w:sz w:val="17"/>
              </w:rPr>
              <w:t>Dispatches correct dosage calculations and clinical instructions at runtime without hardcoded switch/case blocks.</w:t>
            </w:r>
          </w:p>
        </w:tc>
      </w:tr>
      <w:tr>
        <w:tc>
          <w:tcPr>
            <w:tcW w:type="dxa" w:w="2160"/>
            <w:shd w:fill="F8FAFC"/>
            <w:tcMar>
              <w:top w:w="80" w:type="dxa"/>
              <w:bottom w:w="80" w:type="dxa"/>
              <w:left w:w="100" w:type="dxa"/>
              <w:right w:w="100" w:type="dxa"/>
            </w:tcMar>
          </w:tcPr>
          <w:p>
            <w:r>
              <w:rPr>
                <w:color w:val="1E293B"/>
                <w:sz w:val="17"/>
              </w:rPr>
              <w:t>Pure Virtual Contracts</w:t>
            </w:r>
          </w:p>
        </w:tc>
        <w:tc>
          <w:tcPr>
            <w:tcW w:type="dxa" w:w="3168"/>
            <w:shd w:fill="FFFFFF"/>
            <w:tcMar>
              <w:top w:w="80" w:type="dxa"/>
              <w:bottom w:w="80" w:type="dxa"/>
              <w:left w:w="100" w:type="dxa"/>
              <w:right w:w="100" w:type="dxa"/>
            </w:tcMar>
          </w:tcPr>
          <w:p>
            <w:r>
              <w:rPr>
                <w:color w:val="1E293B"/>
                <w:sz w:val="17"/>
              </w:rPr>
              <w:t>virtual string getType() const = 0;</w:t>
              <w:br/>
              <w:t>virtual string getUsageInstructions() const = 0;</w:t>
            </w:r>
          </w:p>
        </w:tc>
        <w:tc>
          <w:tcPr>
            <w:tcW w:type="dxa" w:w="3600"/>
            <w:shd w:fill="FFFFFF"/>
            <w:tcMar>
              <w:top w:w="80" w:type="dxa"/>
              <w:bottom w:w="80" w:type="dxa"/>
              <w:left w:w="100" w:type="dxa"/>
              <w:right w:w="100" w:type="dxa"/>
            </w:tcMar>
          </w:tcPr>
          <w:p>
            <w:r>
              <w:rPr>
                <w:color w:val="1E293B"/>
                <w:sz w:val="17"/>
              </w:rPr>
              <w:t>Forces derived formulations to implement specific medical instruction sets before instantiation.</w:t>
            </w:r>
          </w:p>
        </w:tc>
      </w:tr>
      <w:tr>
        <w:tc>
          <w:tcPr>
            <w:tcW w:type="dxa" w:w="2160"/>
            <w:shd w:fill="F8FAFC"/>
            <w:tcMar>
              <w:top w:w="80" w:type="dxa"/>
              <w:bottom w:w="80" w:type="dxa"/>
              <w:left w:w="100" w:type="dxa"/>
              <w:right w:w="100" w:type="dxa"/>
            </w:tcMar>
          </w:tcPr>
          <w:p>
            <w:r>
              <w:rPr>
                <w:color w:val="1E293B"/>
                <w:sz w:val="17"/>
              </w:rPr>
              <w:t>Virtual Destructors</w:t>
            </w:r>
          </w:p>
        </w:tc>
        <w:tc>
          <w:tcPr>
            <w:tcW w:type="dxa" w:w="3168"/>
            <w:shd w:fill="FFFFFF"/>
            <w:tcMar>
              <w:top w:w="80" w:type="dxa"/>
              <w:bottom w:w="80" w:type="dxa"/>
              <w:left w:w="100" w:type="dxa"/>
              <w:right w:w="100" w:type="dxa"/>
            </w:tcMar>
          </w:tcPr>
          <w:p>
            <w:r>
              <w:rPr>
                <w:color w:val="1E293B"/>
                <w:sz w:val="17"/>
              </w:rPr>
              <w:t>virtual ~Medicine() {}</w:t>
              <w:br/>
              <w:t>virtual ~Person() {}</w:t>
              <w:br/>
              <w:t>virtual ~Alert() {}</w:t>
            </w:r>
          </w:p>
        </w:tc>
        <w:tc>
          <w:tcPr>
            <w:tcW w:type="dxa" w:w="3600"/>
            <w:shd w:fill="FFFFFF"/>
            <w:tcMar>
              <w:top w:w="80" w:type="dxa"/>
              <w:bottom w:w="80" w:type="dxa"/>
              <w:left w:w="100" w:type="dxa"/>
              <w:right w:w="100" w:type="dxa"/>
            </w:tcMar>
          </w:tcPr>
          <w:p>
            <w:r>
              <w:rPr>
                <w:color w:val="1E293B"/>
                <w:sz w:val="17"/>
              </w:rPr>
              <w:t>Guarantees complete memory reclamation and derived cleanup when objects are deleted via base pointers.</w:t>
            </w:r>
          </w:p>
        </w:tc>
      </w:tr>
      <w:tr>
        <w:tc>
          <w:tcPr>
            <w:tcW w:type="dxa" w:w="2160"/>
            <w:shd w:fill="F8FAFC"/>
            <w:tcMar>
              <w:top w:w="80" w:type="dxa"/>
              <w:bottom w:w="80" w:type="dxa"/>
              <w:left w:w="100" w:type="dxa"/>
              <w:right w:w="100" w:type="dxa"/>
            </w:tcMar>
          </w:tcPr>
          <w:p>
            <w:r>
              <w:rPr>
                <w:color w:val="1E293B"/>
                <w:sz w:val="17"/>
              </w:rPr>
              <w:t>Stream Serialization</w:t>
            </w:r>
          </w:p>
        </w:tc>
        <w:tc>
          <w:tcPr>
            <w:tcW w:type="dxa" w:w="3168"/>
            <w:shd w:fill="FFFFFF"/>
            <w:tcMar>
              <w:top w:w="80" w:type="dxa"/>
              <w:bottom w:w="80" w:type="dxa"/>
              <w:left w:w="100" w:type="dxa"/>
              <w:right w:w="100" w:type="dxa"/>
            </w:tcMar>
          </w:tcPr>
          <w:p>
            <w:r>
              <w:rPr>
                <w:color w:val="1E293B"/>
                <w:sz w:val="17"/>
              </w:rPr>
              <w:t>serialize(), deserialize(), stream operators (ifstream, ofstream).</w:t>
            </w:r>
          </w:p>
        </w:tc>
        <w:tc>
          <w:tcPr>
            <w:tcW w:type="dxa" w:w="3600"/>
            <w:shd w:fill="FFFFFF"/>
            <w:tcMar>
              <w:top w:w="80" w:type="dxa"/>
              <w:bottom w:w="80" w:type="dxa"/>
              <w:left w:w="100" w:type="dxa"/>
              <w:right w:w="100" w:type="dxa"/>
            </w:tcMar>
          </w:tcPr>
          <w:p>
            <w:r>
              <w:rPr>
                <w:color w:val="1E293B"/>
                <w:sz w:val="17"/>
              </w:rPr>
              <w:t>Persists relational database state to disk tabulations across application reboots.</w:t>
            </w:r>
          </w:p>
        </w:tc>
      </w:tr>
    </w:tbl>
    <w:p>
      <w:pPr>
        <w:spacing w:after="280"/>
      </w:pPr>
    </w:p>
    <w:p>
      <w:pPr>
        <w:pStyle w:val="Heading1"/>
      </w:pPr>
      <w:r>
        <w:rPr>
          <w:rFonts w:ascii="Calibri" w:hAnsi="Calibri"/>
          <w:b/>
          <w:color w:val="0F172A"/>
        </w:rPr>
        <w:t>4. Laboratory Evaluation Defense &amp; Viva Q&amp;A</w:t>
      </w:r>
    </w:p>
    <w:p>
      <w:pPr>
        <w:spacing w:after="40"/>
      </w:pPr>
      <w:r>
        <w:rPr>
          <w:rFonts w:ascii="Calibri" w:hAnsi="Calibri"/>
          <w:b/>
          <w:color w:val="0F172A"/>
          <w:sz w:val="20"/>
        </w:rPr>
        <w:t>Q1: How does the system implement Runtime Polymorphism?</w:t>
      </w:r>
    </w:p>
    <w:p>
      <w:pPr>
        <w:spacing w:after="160"/>
      </w:pPr>
      <w:r>
        <w:rPr>
          <w:rFonts w:ascii="Calibri" w:hAnsi="Calibri"/>
          <w:color w:val="1E293B"/>
          <w:sz w:val="18"/>
        </w:rPr>
        <w:t>In Cpp Files/main.cpp, Medicine is an abstract base class with pure virtual functions getType() and getUsageInstructions(). Derived classes (Tablet, Syrup, Injection) override these methods. The inventory maintains a vector of base pointers (vector&lt;Medicine*&gt;). Calling med-&gt;getUsageInstructions() dynamically dispatches to the derived implementation through the compiler's virtual method table (vtable).</w:t>
      </w:r>
    </w:p>
    <w:p>
      <w:pPr>
        <w:spacing w:after="40"/>
      </w:pPr>
      <w:r>
        <w:rPr>
          <w:rFonts w:ascii="Calibri" w:hAnsi="Calibri"/>
          <w:b/>
          <w:color w:val="0F172A"/>
          <w:sz w:val="20"/>
        </w:rPr>
        <w:t>Q2: How does the Patient Safety Gate function in C++?</w:t>
      </w:r>
    </w:p>
    <w:p>
      <w:pPr>
        <w:spacing w:after="160"/>
      </w:pPr>
      <w:r>
        <w:rPr>
          <w:rFonts w:ascii="Calibri" w:hAnsi="Calibri"/>
          <w:color w:val="1E293B"/>
          <w:sz w:val="18"/>
        </w:rPr>
        <w:t>In StockItem::isExpired(), the expiry date string (MM/YYYY) is parsed into integers and compared mathematically against the current calendar timestamp obtained via &lt;ctime&gt;. If the batch is expired, isExpired() returns true. The sellMedicine() method checks this boolean gate: if true, the transaction terminates instantly with a safety violation notice, preventing expired drugs from leaving the shelf.</w:t>
      </w:r>
    </w:p>
    <w:p>
      <w:pPr>
        <w:spacing w:after="40"/>
      </w:pPr>
      <w:r>
        <w:rPr>
          <w:rFonts w:ascii="Calibri" w:hAnsi="Calibri"/>
          <w:b/>
          <w:color w:val="0F172A"/>
          <w:sz w:val="20"/>
        </w:rPr>
        <w:t>Q3: Why are Virtual Destructors mandatory in this project?</w:t>
      </w:r>
    </w:p>
    <w:p>
      <w:pPr>
        <w:spacing w:after="160"/>
      </w:pPr>
      <w:r>
        <w:rPr>
          <w:rFonts w:ascii="Calibri" w:hAnsi="Calibri"/>
          <w:color w:val="1E293B"/>
          <w:sz w:val="18"/>
        </w:rPr>
        <w:t>Because derived objects (such as Tablet or Syrup) are dynamically allocated on the heap using 'new' and stored as base pointers 'Medicine*'. If ~Medicine() were non-virtual, calling 'delete med;' would only execute the base class destructor, failing to invoke derived cleanup and causing object slicing and memory leaks. Marking ~Medicine() virtual ensures the entire inheritance chain is destructed properly.</w:t>
      </w:r>
    </w:p>
    <w:p>
      <w:pPr>
        <w:spacing w:after="40"/>
      </w:pPr>
      <w:r>
        <w:rPr>
          <w:rFonts w:ascii="Calibri" w:hAnsi="Calibri"/>
          <w:b/>
          <w:color w:val="0F172A"/>
          <w:sz w:val="20"/>
        </w:rPr>
        <w:t>Q4: How is Database Normalization (3NF) maintained?</w:t>
      </w:r>
    </w:p>
    <w:p>
      <w:pPr>
        <w:spacing w:after="160"/>
      </w:pPr>
      <w:r>
        <w:rPr>
          <w:rFonts w:ascii="Calibri" w:hAnsi="Calibri"/>
          <w:color w:val="1E293B"/>
          <w:sz w:val="18"/>
        </w:rPr>
        <w:t>1NF: Attributes are atomic and pipe-delimited (|).</w:t>
        <w:br/>
        <w:t>2NF: Non-key attributes depend entirely on the respective primary keys (MedicineID, StockID, SupplierID).</w:t>
        <w:br/>
        <w:t>3NF: Non-key transitive dependencies are eliminated. Physical stock items only record foreign keys (MedicineID, SupplierID), avoiding redundancy and update anomalies.</w:t>
      </w:r>
    </w:p>
    <w:p>
      <w:pPr>
        <w:keepNext/>
        <w:spacing w:before="280" w:after="80"/>
      </w:pPr>
      <w:r>
        <w:rPr>
          <w:rFonts w:ascii="Calibri" w:hAnsi="Calibri"/>
          <w:b/>
          <w:color w:val="0F172A"/>
          <w:sz w:val="28"/>
        </w:rPr>
        <w:t>5. System Execution &amp; Output Verification</w:t>
      </w:r>
    </w:p>
    <w:p>
      <w:pPr>
        <w:spacing w:before="40" w:after="80" w:line="276" w:lineRule="auto"/>
      </w:pPr>
      <w:r>
        <w:rPr>
          <w:rFonts w:ascii="Calibri" w:hAnsi="Calibri"/>
          <w:color w:val="1E293B"/>
          <w:sz w:val="19"/>
        </w:rPr>
        <w:t>To substantiate the system's software architecture and clinical efficacy, rigorous empirical verification was performed across both available presentation layers: the real-time desktop graphical user interface (GUI) and the standalone compiled terminal console interface (CLI). The following outputs demonstrate live execution under authentic laboratory conditions, highlighting runtime polymorphic behavior, relational data consistency, and unbypassable patient safety gates.</w:t>
      </w:r>
    </w:p>
    <w:p>
      <w:pPr>
        <w:keepNext/>
        <w:spacing w:before="200" w:after="60"/>
      </w:pPr>
      <w:r>
        <w:rPr>
          <w:rFonts w:ascii="Calibri" w:hAnsi="Calibri"/>
          <w:b/>
          <w:color w:val="059669"/>
          <w:sz w:val="24"/>
        </w:rPr>
        <w:t>5.1 Real-Time Desktop UI / UX Output (C++ IPC Bridge)</w:t>
      </w:r>
    </w:p>
    <w:p>
      <w:pPr>
        <w:spacing w:before="40" w:after="80" w:line="276" w:lineRule="auto"/>
      </w:pPr>
      <w:r>
        <w:rPr>
          <w:rFonts w:ascii="Calibri" w:hAnsi="Calibri"/>
          <w:color w:val="1E293B"/>
          <w:sz w:val="19"/>
        </w:rPr>
        <w:t>The desktop application is engineered as a modern, high-performance cockpit powered by a compiled C++ binary backend (main.exe) operating via an inter-process communication (IPC) JSON bridge. The user interface directly reflects data maintained across the three normalized database files, updating stock badges, inventory counts, and safety statuses in real time.</w:t>
      </w:r>
    </w:p>
    <w:p>
      <w:pPr>
        <w:spacing w:before="40" w:after="80" w:line="276" w:lineRule="auto"/>
      </w:pPr>
      <w:r>
        <w:rPr>
          <w:rFonts w:ascii="Calibri" w:hAnsi="Calibri"/>
          <w:color w:val="1E293B"/>
          <w:sz w:val="19"/>
        </w:rPr>
        <w:t>Figure 2 illustrates the Medicine Catalog view. Each pharmaceutical formulation (Tablet, Syrup, Injection) is visually differentiated with dedicated category badges and clinical usage directions generated dynamically by C++ virtual functions.</w:t>
      </w:r>
    </w:p>
    <w:p>
      <w:pPr>
        <w:keepNext/>
        <w:spacing w:before="120" w:after="40"/>
        <w:jc w:val="center"/>
      </w:pPr>
      <w:r>
        <w:drawing>
          <wp:inline xmlns:a="http://schemas.openxmlformats.org/drawingml/2006/main" xmlns:pic="http://schemas.openxmlformats.org/drawingml/2006/picture">
            <wp:extent cx="5669280" cy="2826229"/>
            <wp:docPr id="2" name="Picture 2"/>
            <wp:cNvGraphicFramePr>
              <a:graphicFrameLocks noChangeAspect="1"/>
            </wp:cNvGraphicFramePr>
            <a:graphic>
              <a:graphicData uri="http://schemas.openxmlformats.org/drawingml/2006/picture">
                <pic:pic>
                  <pic:nvPicPr>
                    <pic:cNvPr id="0" name="screenshot_ui_catalog.png"/>
                    <pic:cNvPicPr/>
                  </pic:nvPicPr>
                  <pic:blipFill>
                    <a:blip r:embed="rId10"/>
                    <a:stretch>
                      <a:fillRect/>
                    </a:stretch>
                  </pic:blipFill>
                  <pic:spPr>
                    <a:xfrm>
                      <a:off x="0" y="0"/>
                      <a:ext cx="5669280" cy="2826229"/>
                    </a:xfrm>
                    <a:prstGeom prst="rect"/>
                  </pic:spPr>
                </pic:pic>
              </a:graphicData>
            </a:graphic>
          </wp:inline>
        </w:drawing>
      </w:r>
    </w:p>
    <w:p>
      <w:pPr>
        <w:spacing w:before="40" w:after="160"/>
        <w:jc w:val="center"/>
      </w:pPr>
      <w:r>
        <w:rPr>
          <w:rFonts w:ascii="Calibri" w:hAnsi="Calibri"/>
          <w:i/>
          <w:color w:val="64748B"/>
          <w:sz w:val="17"/>
        </w:rPr>
        <w:t>Figure 2: PharmaCare Medicine Catalog showcasing polymorphic dosage formulation cards (Tablets, Syrups, Injections) with clinical usage directions dynamically resolved via C++ virtual function dispatch.</w:t>
      </w:r>
    </w:p>
    <w:p>
      <w:pPr>
        <w:spacing w:before="40" w:after="80" w:line="276" w:lineRule="auto"/>
      </w:pPr>
      <w:r>
        <w:rPr>
          <w:rFonts w:ascii="Calibri" w:hAnsi="Calibri"/>
          <w:color w:val="1E293B"/>
          <w:sz w:val="19"/>
        </w:rPr>
        <w:t>Figure 3 demonstrates the Physical Stock Ledger table. Unlike basic single-table pharmacy scripts, PharmaCare displays distinct physical batches on the shelf (e.g. STK001 through STK008) with individual batch lot numbers, supplier IDs, unit costs, and expiry dates. Notice how batch STK005 (Cough Syrup, expired 02/2025) has its action button automatically converted to 'Locked (Expired)' with a crimson status tag, preventing dispensary errors directly from the interface.</w:t>
      </w:r>
    </w:p>
    <w:p>
      <w:pPr>
        <w:keepNext/>
        <w:spacing w:before="120" w:after="40"/>
        <w:jc w:val="center"/>
      </w:pPr>
      <w:r>
        <w:drawing>
          <wp:inline xmlns:a="http://schemas.openxmlformats.org/drawingml/2006/main" xmlns:pic="http://schemas.openxmlformats.org/drawingml/2006/picture">
            <wp:extent cx="5669280" cy="2826229"/>
            <wp:docPr id="3" name="Picture 3"/>
            <wp:cNvGraphicFramePr>
              <a:graphicFrameLocks noChangeAspect="1"/>
            </wp:cNvGraphicFramePr>
            <a:graphic>
              <a:graphicData uri="http://schemas.openxmlformats.org/drawingml/2006/picture">
                <pic:pic>
                  <pic:nvPicPr>
                    <pic:cNvPr id="0" name="screenshot_ui_stock.png"/>
                    <pic:cNvPicPr/>
                  </pic:nvPicPr>
                  <pic:blipFill>
                    <a:blip r:embed="rId11"/>
                    <a:stretch>
                      <a:fillRect/>
                    </a:stretch>
                  </pic:blipFill>
                  <pic:spPr>
                    <a:xfrm>
                      <a:off x="0" y="0"/>
                      <a:ext cx="5669280" cy="2826229"/>
                    </a:xfrm>
                    <a:prstGeom prst="rect"/>
                  </pic:spPr>
                </pic:pic>
              </a:graphicData>
            </a:graphic>
          </wp:inline>
        </w:drawing>
      </w:r>
    </w:p>
    <w:p>
      <w:pPr>
        <w:spacing w:before="40" w:after="160"/>
        <w:jc w:val="center"/>
      </w:pPr>
      <w:r>
        <w:rPr>
          <w:rFonts w:ascii="Calibri" w:hAnsi="Calibri"/>
          <w:i/>
          <w:color w:val="64748B"/>
          <w:sz w:val="17"/>
        </w:rPr>
        <w:t>Figure 3: Physical Stock Ledger table displaying individual physical batches, lot numbers, supplier references, quantities, and real-time safety status badges (OK, EXPIRING SOON, EXPIRED) with active dispensary safety locks.</w:t>
      </w:r>
    </w:p>
    <w:p>
      <w:pPr>
        <w:spacing w:before="40" w:after="80" w:line="276" w:lineRule="auto"/>
      </w:pPr>
      <w:r>
        <w:rPr>
          <w:rFonts w:ascii="Calibri" w:hAnsi="Calibri"/>
          <w:color w:val="1E293B"/>
          <w:sz w:val="19"/>
        </w:rPr>
        <w:t>Figure 4 showcases the Reports &amp; Audits module. The C++ engine computes real-time financial metrics, including total sales revenue, total procurement expenses, and net profit margins, alongside complete historical transaction records and system safety logs.</w:t>
      </w:r>
    </w:p>
    <w:p>
      <w:pPr>
        <w:keepNext/>
        <w:spacing w:before="120" w:after="40"/>
        <w:jc w:val="center"/>
      </w:pPr>
      <w:r>
        <w:drawing>
          <wp:inline xmlns:a="http://schemas.openxmlformats.org/drawingml/2006/main" xmlns:pic="http://schemas.openxmlformats.org/drawingml/2006/picture">
            <wp:extent cx="5669280" cy="2826229"/>
            <wp:docPr id="4" name="Picture 4"/>
            <wp:cNvGraphicFramePr>
              <a:graphicFrameLocks noChangeAspect="1"/>
            </wp:cNvGraphicFramePr>
            <a:graphic>
              <a:graphicData uri="http://schemas.openxmlformats.org/drawingml/2006/picture">
                <pic:pic>
                  <pic:nvPicPr>
                    <pic:cNvPr id="0" name="screenshot_ui_reports.png"/>
                    <pic:cNvPicPr/>
                  </pic:nvPicPr>
                  <pic:blipFill>
                    <a:blip r:embed="rId12"/>
                    <a:stretch>
                      <a:fillRect/>
                    </a:stretch>
                  </pic:blipFill>
                  <pic:spPr>
                    <a:xfrm>
                      <a:off x="0" y="0"/>
                      <a:ext cx="5669280" cy="2826229"/>
                    </a:xfrm>
                    <a:prstGeom prst="rect"/>
                  </pic:spPr>
                </pic:pic>
              </a:graphicData>
            </a:graphic>
          </wp:inline>
        </w:drawing>
      </w:r>
    </w:p>
    <w:p>
      <w:pPr>
        <w:spacing w:before="40" w:after="160"/>
        <w:jc w:val="center"/>
      </w:pPr>
      <w:r>
        <w:rPr>
          <w:rFonts w:ascii="Calibri" w:hAnsi="Calibri"/>
          <w:i/>
          <w:color w:val="64748B"/>
          <w:sz w:val="17"/>
        </w:rPr>
        <w:t>Figure 4: Financial &amp; Safety Audit Reports dashboard displaying total revenue, procurement expenses, transaction records, and active clinical safety alerts generated by the C++ engine.</w:t>
      </w:r>
    </w:p>
    <w:p>
      <w:pPr>
        <w:keepNext/>
        <w:spacing w:before="200" w:after="60"/>
      </w:pPr>
      <w:r>
        <w:rPr>
          <w:rFonts w:ascii="Calibri" w:hAnsi="Calibri"/>
          <w:b/>
          <w:color w:val="059669"/>
          <w:sz w:val="24"/>
        </w:rPr>
        <w:t>5.2 Compiled C++ Terminal Console Execution (CLI)</w:t>
      </w:r>
    </w:p>
    <w:p>
      <w:pPr>
        <w:spacing w:before="40" w:after="80" w:line="276" w:lineRule="auto"/>
      </w:pPr>
      <w:r>
        <w:rPr>
          <w:rFonts w:ascii="Calibri" w:hAnsi="Calibri"/>
          <w:color w:val="1E293B"/>
          <w:sz w:val="19"/>
        </w:rPr>
        <w:t>The core pharmacy engine is completely autonomous and executable in terminal environments without requiring external graphical libraries. Built with MinGW GCC under the C++11 standard, the console application provides an interactive, menu-driven interface with ANSI color formatting for maximum clarity and operator efficiency.</w:t>
      </w:r>
    </w:p>
    <w:p>
      <w:pPr>
        <w:spacing w:before="40" w:after="80" w:line="276" w:lineRule="auto"/>
      </w:pPr>
      <w:r>
        <w:rPr>
          <w:rFonts w:ascii="Calibri" w:hAnsi="Calibri"/>
          <w:color w:val="1E293B"/>
          <w:sz w:val="19"/>
        </w:rPr>
        <w:t>Figure 5 displays the initial startup and main command menu of main.exe. During initialization, the system automatically parses and validates all three normalized database files (pharma_medicines.txt, pharma_inventory.txt, pharma_suppliers.txt), displaying real-time counts of active records in the header.</w:t>
      </w:r>
    </w:p>
    <w:p>
      <w:pPr>
        <w:keepNext/>
        <w:spacing w:before="120" w:after="40"/>
        <w:jc w:val="center"/>
      </w:pPr>
      <w:r>
        <w:drawing>
          <wp:inline xmlns:a="http://schemas.openxmlformats.org/drawingml/2006/main" xmlns:pic="http://schemas.openxmlformats.org/drawingml/2006/picture">
            <wp:extent cx="5303520" cy="4474845"/>
            <wp:docPr id="5" name="Picture 5"/>
            <wp:cNvGraphicFramePr>
              <a:graphicFrameLocks noChangeAspect="1"/>
            </wp:cNvGraphicFramePr>
            <a:graphic>
              <a:graphicData uri="http://schemas.openxmlformats.org/drawingml/2006/picture">
                <pic:pic>
                  <pic:nvPicPr>
                    <pic:cNvPr id="0" name="screenshot_terminal_menu.png"/>
                    <pic:cNvPicPr/>
                  </pic:nvPicPr>
                  <pic:blipFill>
                    <a:blip r:embed="rId13"/>
                    <a:stretch>
                      <a:fillRect/>
                    </a:stretch>
                  </pic:blipFill>
                  <pic:spPr>
                    <a:xfrm>
                      <a:off x="0" y="0"/>
                      <a:ext cx="5303520" cy="4474845"/>
                    </a:xfrm>
                    <a:prstGeom prst="rect"/>
                  </pic:spPr>
                </pic:pic>
              </a:graphicData>
            </a:graphic>
          </wp:inline>
        </w:drawing>
      </w:r>
    </w:p>
    <w:p>
      <w:pPr>
        <w:spacing w:before="40" w:after="160"/>
        <w:jc w:val="center"/>
      </w:pPr>
      <w:r>
        <w:rPr>
          <w:rFonts w:ascii="Calibri" w:hAnsi="Calibri"/>
          <w:i/>
          <w:color w:val="64748B"/>
          <w:sz w:val="17"/>
        </w:rPr>
        <w:t>Figure 5: C++ Terminal Console showing the 3-File Pharmacy Database auto-initialization sequence and the interactive numerical command menu.</w:t>
      </w:r>
    </w:p>
    <w:p>
      <w:pPr>
        <w:spacing w:before="40" w:after="80" w:line="276" w:lineRule="auto"/>
      </w:pPr>
      <w:r>
        <w:rPr>
          <w:rFonts w:ascii="Calibri" w:hAnsi="Calibri"/>
          <w:color w:val="1E293B"/>
          <w:sz w:val="19"/>
        </w:rPr>
        <w:t>Figure 6 shows Option [1] of the console application: the Physical Stock Ledger. Batches are listed with their corresponding medicine specifications, lot numbers, current shelf quantities, and color-coded clinical status indicators.</w:t>
      </w:r>
    </w:p>
    <w:p>
      <w:pPr>
        <w:keepNext/>
        <w:spacing w:before="120" w:after="40"/>
        <w:jc w:val="center"/>
      </w:pPr>
      <w:r>
        <w:drawing>
          <wp:inline xmlns:a="http://schemas.openxmlformats.org/drawingml/2006/main" xmlns:pic="http://schemas.openxmlformats.org/drawingml/2006/picture">
            <wp:extent cx="5303520" cy="2486025"/>
            <wp:docPr id="6" name="Picture 6"/>
            <wp:cNvGraphicFramePr>
              <a:graphicFrameLocks noChangeAspect="1"/>
            </wp:cNvGraphicFramePr>
            <a:graphic>
              <a:graphicData uri="http://schemas.openxmlformats.org/drawingml/2006/picture">
                <pic:pic>
                  <pic:nvPicPr>
                    <pic:cNvPr id="0" name="screenshot_terminal_stock.png"/>
                    <pic:cNvPicPr/>
                  </pic:nvPicPr>
                  <pic:blipFill>
                    <a:blip r:embed="rId14"/>
                    <a:stretch>
                      <a:fillRect/>
                    </a:stretch>
                  </pic:blipFill>
                  <pic:spPr>
                    <a:xfrm>
                      <a:off x="0" y="0"/>
                      <a:ext cx="5303520" cy="2486025"/>
                    </a:xfrm>
                    <a:prstGeom prst="rect"/>
                  </pic:spPr>
                </pic:pic>
              </a:graphicData>
            </a:graphic>
          </wp:inline>
        </w:drawing>
      </w:r>
    </w:p>
    <w:p>
      <w:pPr>
        <w:spacing w:before="40" w:after="160"/>
        <w:jc w:val="center"/>
      </w:pPr>
      <w:r>
        <w:rPr>
          <w:rFonts w:ascii="Calibri" w:hAnsi="Calibri"/>
          <w:i/>
          <w:color w:val="64748B"/>
          <w:sz w:val="17"/>
        </w:rPr>
        <w:t>Figure 6: Tabular Physical Stock Ledger rendered directly in the terminal console with color-coded clinical status flags (OK, EXPIRING SOON, [EXPIRED - ACTION REQUIRED]).</w:t>
      </w:r>
    </w:p>
    <w:p>
      <w:pPr>
        <w:spacing w:before="40" w:after="80" w:line="276" w:lineRule="auto"/>
      </w:pPr>
      <w:r>
        <w:rPr>
          <w:rFonts w:ascii="Calibri" w:hAnsi="Calibri"/>
          <w:color w:val="1E293B"/>
          <w:sz w:val="19"/>
        </w:rPr>
        <w:t>Figure 7 demonstrates the Patient Safety Gate in action under Option [5] (Sell / Dispense Medicine). When an operator attempts to dispense batch STK005 (expired 02/2025), the method invokes StockItem::isExpired(). Detecting an expired date, the C++ safety gate instantly aborts the transaction, prints a critical violation warning, and refuses to deduct inventory units.</w:t>
      </w:r>
    </w:p>
    <w:p>
      <w:pPr>
        <w:keepNext/>
        <w:spacing w:before="120" w:after="40"/>
        <w:jc w:val="center"/>
      </w:pPr>
      <w:r>
        <w:drawing>
          <wp:inline xmlns:a="http://schemas.openxmlformats.org/drawingml/2006/main" xmlns:pic="http://schemas.openxmlformats.org/drawingml/2006/picture">
            <wp:extent cx="5303520" cy="2707005"/>
            <wp:docPr id="7" name="Picture 7"/>
            <wp:cNvGraphicFramePr>
              <a:graphicFrameLocks noChangeAspect="1"/>
            </wp:cNvGraphicFramePr>
            <a:graphic>
              <a:graphicData uri="http://schemas.openxmlformats.org/drawingml/2006/picture">
                <pic:pic>
                  <pic:nvPicPr>
                    <pic:cNvPr id="0" name="screenshot_terminal_safety.png"/>
                    <pic:cNvPicPr/>
                  </pic:nvPicPr>
                  <pic:blipFill>
                    <a:blip r:embed="rId15"/>
                    <a:stretch>
                      <a:fillRect/>
                    </a:stretch>
                  </pic:blipFill>
                  <pic:spPr>
                    <a:xfrm>
                      <a:off x="0" y="0"/>
                      <a:ext cx="5303520" cy="2707005"/>
                    </a:xfrm>
                    <a:prstGeom prst="rect"/>
                  </pic:spPr>
                </pic:pic>
              </a:graphicData>
            </a:graphic>
          </wp:inline>
        </w:drawing>
      </w:r>
    </w:p>
    <w:p>
      <w:pPr>
        <w:spacing w:before="40" w:after="160"/>
        <w:jc w:val="center"/>
      </w:pPr>
      <w:r>
        <w:rPr>
          <w:rFonts w:ascii="Calibri" w:hAnsi="Calibri"/>
          <w:i/>
          <w:color w:val="64748B"/>
          <w:sz w:val="17"/>
        </w:rPr>
        <w:t>Figure 7: Live terminal execution proving Patient Safety Gate enforcement: an attempt to dispense expired batch STK005 is intercepted and blocked at the compiled class method level.</w:t>
      </w:r>
    </w:p>
    <w:p>
      <w:pPr>
        <w:spacing w:before="40" w:after="80" w:line="276" w:lineRule="auto"/>
      </w:pPr>
      <w:r>
        <w:rPr>
          <w:rFonts w:ascii="Calibri" w:hAnsi="Calibri"/>
          <w:color w:val="1E293B"/>
          <w:sz w:val="19"/>
        </w:rPr>
        <w:t>Figure 8 showcases Option [11]: Polymorphic Safety Audit &amp; Alerts. The inventory engine iterates over polymorphic Alert* pointers (ExpiryAlert and LowStockAlert) stored in a heterogeneous collection, invokes their overridden display() and serialize() methods, and exports the complete audit trail to pharma_alerts.txt.</w:t>
      </w:r>
    </w:p>
    <w:p>
      <w:pPr>
        <w:keepNext/>
        <w:spacing w:before="120" w:after="40"/>
        <w:jc w:val="center"/>
      </w:pPr>
      <w:r>
        <w:drawing>
          <wp:inline xmlns:a="http://schemas.openxmlformats.org/drawingml/2006/main" xmlns:pic="http://schemas.openxmlformats.org/drawingml/2006/picture">
            <wp:extent cx="5303520" cy="3480435"/>
            <wp:docPr id="8" name="Picture 8"/>
            <wp:cNvGraphicFramePr>
              <a:graphicFrameLocks noChangeAspect="1"/>
            </wp:cNvGraphicFramePr>
            <a:graphic>
              <a:graphicData uri="http://schemas.openxmlformats.org/drawingml/2006/picture">
                <pic:pic>
                  <pic:nvPicPr>
                    <pic:cNvPr id="0" name="screenshot_terminal_alerts.png"/>
                    <pic:cNvPicPr/>
                  </pic:nvPicPr>
                  <pic:blipFill>
                    <a:blip r:embed="rId16"/>
                    <a:stretch>
                      <a:fillRect/>
                    </a:stretch>
                  </pic:blipFill>
                  <pic:spPr>
                    <a:xfrm>
                      <a:off x="0" y="0"/>
                      <a:ext cx="5303520" cy="3480435"/>
                    </a:xfrm>
                    <a:prstGeom prst="rect"/>
                  </pic:spPr>
                </pic:pic>
              </a:graphicData>
            </a:graphic>
          </wp:inline>
        </w:drawing>
      </w:r>
    </w:p>
    <w:p>
      <w:pPr>
        <w:spacing w:before="40" w:after="160"/>
        <w:jc w:val="center"/>
      </w:pPr>
      <w:r>
        <w:rPr>
          <w:rFonts w:ascii="Calibri" w:hAnsi="Calibri"/>
          <w:i/>
          <w:color w:val="64748B"/>
          <w:sz w:val="17"/>
        </w:rPr>
        <w:t>Figure 8: Polymorphic safety alert generation iterating over heterogeneous Alert* pointers (ExpiryAlert, LowStockAlert) and serializing audit logs to pharma_alerts.txt.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