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p>
    <w:p>
      <w:pPr>
        <w:pStyle w:val="189"/>
        <w:tabs>
          <w:tab w:val="right" w:leader="dot" w:pos="9026"/>
        </w:tabs>
      </w:pPr>
      <w:hyperlink w:anchor="_Toc012" w:history="1">
        <w:r>
          <w:rPr>
            <w:rStyle w:val="726"/>
          </w:rPr>
          <w:t xml:space="preserve">12.  Mở rộng theo nhu cầu của bạn</w:t>
        </w:r>
        <w:r>
          <w:tab/>
        </w:r>
        <w:r>
          <w:fldChar w:fldCharType="begin"/>
        </w:r>
        <w:r>
          <w:instrText xml:space="preserve"> PAGEREF _Toc012 \h </w:instrText>
        </w:r>
        <w:r>
          <w:fldChar w:fldCharType="separate"/>
        </w:r>
        <w:r>
          <w:fldChar w:fldCharType="end"/>
        </w:r>
      </w:hyperlink>
    </w:p>
    <w:p>
      <w:pPr>
        <w:pStyle w:val="189"/>
        <w:tabs>
          <w:tab w:val="right" w:leader="dot" w:pos="9026"/>
        </w:tabs>
      </w:pPr>
      <w:hyperlink w:anchor="_Toc013" w:history="1">
        <w:r>
          <w:rPr>
            <w:rStyle w:val="726"/>
          </w:rPr>
          <w:t xml:space="preserve">13.  Chọn model và mức nỗ lực</w:t>
        </w:r>
        <w:r>
          <w:tab/>
        </w:r>
        <w:r>
          <w:fldChar w:fldCharType="begin"/>
        </w:r>
        <w:r>
          <w:instrText xml:space="preserve"> PAGEREF _Toc013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ba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lời dặn thường trực · ghi nhớ xuyên phiên ·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pPr>
        <w:keepNext/>
        <w:keepLines/>
      </w:pPr>
      <w:r>
        <w:rPr>
          <w:b/>
        </w:rPr>
        <w:t xml:space="preserve">Cách 3 — Dự án ĐANG CÓ file? Áp thẳng vào đó</w:t>
      </w:r>
    </w:p>
    <w:p>
      <w:pPr>
        <w:keepNext/>
        <w:keepLines/>
      </w:pPr>
      <w:r>
        <w:t xml:space="preserve">Vẫn gắn thư mục như hai cách trên — khác ở chỗ thư mục đã có file sẵn. Không cần dọn gì trước: trợ lý dò toàn bộ, in bảng “file này đang ở đâu · nên ở đâu · vì sao”, rồi CHỜ bạn gật từng mục mới dời. File đã có thì nó bỏ qua chứ không ghi đè, và không tự xoá hay tự dời thứ gì. Muốn nói rõ thì thêm một câu: “sắp xếp lại thư mục theo chuẩn giúp tôi”.</w:t>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5200" cy="2678061"/>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5200" cy="26780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dự phòng, khi cơ chế đó không có</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bảo mật — vì sao phần bổ sung này không mở thêm rủi ro.  </w:t>
      </w:r>
      <w:r>
        <w:rPr>
          <w:rFonts w:ascii="Calibri" w:hAnsi="Calibri" w:eastAsia="Calibri" w:cs="Calibri"/>
          <w:color w:val="1a2233"/>
          <w:sz w:val="21"/>
          <w:szCs w:val="21"/>
        </w:rPr>
        <w:t xml:space="preserve">zemory do chính người trong nhóm tự xây, không phải phần mềm mua ngoài — không có nhà cung cấp thứ ba nào chen vào giữa. Phần đưa vào Cowork chỉ là BỘ KHUNG, tức cách trợ lý làm việc, và nó là file văn bản đặt trong thư mục dự án: không phần mềm, không chạy nền, không đòi quyền, không tài khoản để đăng nhập, không gửi dữ liệu ra ngoài. Nó cũng không mở thêm đường vào dữ liệu — trợ lý vẫn chỉ thấy đúng thư mục bạn đã gắn, và việc gọi AI vẫn do Claude làm y như trước. Phần duy nhất có phần mềm là kho nhớ (②), mà Cowork không dùng tới. Muốn kiểm thì mở ra đọc: toàn bộ là văn bản, không có gì chạy được.</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ageBreakBefore/>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5200" cy="2719906"/>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5200" cy="2719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[tuỳ]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Công cụ đi kèm.  </w:t>
      </w:r>
      <w:r>
        <w:rPr>
          <w:rFonts w:ascii="Calibri" w:hAnsi="Calibri" w:eastAsia="Calibri" w:cs="Calibri"/>
          <w:color w:val="1a2233"/>
          <w:sz w:val="21"/>
          <w:szCs w:val="21"/>
        </w:rPr>
        <w:t xml:space="preserve">Bảng tính, tài liệu Word, bản trình bày và PDF không phải văn bản thuần — muốn đọc thì phải chuyển đổi. Quy trình “Đọc file Office” dùng markitdown (của Microsoft, mã nguồn mở) đổi chúng thành văn bản gọn: đọc một bảng tính thật tốn ít trí nhớ phiên hơn khoảng 5–6 lần so với đọc thô. Trong Cowork thì môi trường đã đọc được mấy loại file đó sẵn, nên công cụ này chỉ cần khi muốn kiểm soát chính xác lượng nạp vào. Còn “Ghi file Word” thì sửa thẳng trên file, không qua chuyển đổi — nhờ vậy bảng, ảnh và mục lục giữ nguyên.</w:t>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ageBreakBefore/>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5200" cy="2929129"/>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5200" cy="2929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p>
      <w:pPr>
        <w:pStyle w:val="718"/>
        <w:keepNext/>
        <w:pBdr/>
        <w:spacing w:after="130" w:before="300"/>
        <w:ind/>
        <w:rPr/>
      </w:pPr>
      <w:bookmarkStart w:id="9012" w:name="_Toc012"/>
      <w:r>
        <w:rPr>
          <w:rFonts w:ascii="Calibri" w:hAnsi="Calibri" w:eastAsia="Calibri" w:cs="Calibri"/>
          <w:b/>
          <w:bCs/>
          <w:color w:val="1f3a5f"/>
          <w:sz w:val="28"/>
          <w:szCs w:val="28"/>
        </w:rPr>
        <w:t xml:space="preserve">12.  Mở rộng theo nhu cầu của bạn</w:t>
      </w:r>
      <w:r/>
      <w:bookmarkEnd w:id="9012"/>
    </w:p>
    <w:p>
      <w:pPr>
        <w:pBdr/>
        <w:spacing w:after="120" w:line="278" w:lineRule="auto"/>
        <w:ind/>
        <w:rPr/>
      </w:pPr>
      <w:r>
        <w:rPr>
          <w:rFonts w:ascii="Calibri" w:hAnsi="Calibri" w:eastAsia="Calibri" w:cs="Calibri"/>
          <w:color w:val="1a2233"/>
          <w:sz w:val="21"/>
          <w:szCs w:val="21"/>
        </w:rPr>
        <w:t xml:space="preserve">Mười một quy trình ở mục 8 là bộ KHỞI ĐIỂM, không phải giới hạn. Bộ khung được thiết kế để thêm vào: muốn trợ lý giỏi thêm mặt nào, chỗ để ghi cái đó đã có sẵn — bạn không bị buộc dùng đúng bộ mặc định.</w:t>
      </w:r>
      <w:r/>
    </w:p>
    <w:p>
      <w:pPr>
        <w:pStyle w:val="719"/>
        <w:keepNext/>
        <w:pBdr/>
        <w:spacing w:after="100" w:before="280"/>
        <w:ind/>
        <w:rPr/>
      </w:pPr>
      <w:r>
        <w:t xml:space="preserve">Bạn chỉ cần NÓI — không phải tự viết file</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cho tôi một quy trình làm hoá đơn” — trợ lý soạn quy trình mới, trình bạn xem rồi mới ghi.</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“tìm xem có quy trình sẵn nào cho việc này chưa” — nó đi dò và đề xuất, thay vì tự bịa ra.</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“từ giờ báo cáo luôn phải có cột đối chiếu tháng trước” — cái này thành nội quy, không phải quy trình.</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“chỗ này tôi muốn nó hỏi tôi trước” — thêm một ranh giới vào nội quy dự án.</w:t>
      </w:r>
      <w:r>
        <w:rPr>
          <w:rFonts w:ascii="Calibri" w:hAnsi="Calibri" w:eastAsia="Calibri" w:cs="Calibri"/>
          <w:color w:val="1a2233"/>
          <w:sz w:val="21"/>
          <w:szCs w:val="21"/>
        </w:rPr>
        <w:t xml:space="preserve"/>
      </w:r>
      <w:r/>
    </w:p>
    <w:p>
      <w:pPr>
        <w:pStyle w:val="719"/>
        <w:keepNext/>
        <w:pBdr/>
        <w:spacing w:after="100" w:before="280"/>
        <w:ind/>
        <w:rPr/>
      </w:pPr>
      <w:r>
        <w:t xml:space="preserve">Mỗi loại mong muốn có một chỗ riêng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 cải thiện</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Nó được ghi vào đâu</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Cách làm một việc lặp lại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quy trình mới trong .claude/skills/</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Luật phải theo, điều cấm, khi nào phải hỏi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docs/agent/02_RULES.md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Mục đích và giới hạn của dự án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docs/agent/01_CONSTITUTION.md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Chỗ để một loại file mới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ngăn mới — đây là đổi chuẩn, phải trình bạn duyệt trước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Tài liệu tham chiếu dài, tra khi cần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reference/ bên trong quy trình đó</w:t>
            </w:r>
          </w:p>
        </w:tc>
      </w:tr>
    </w:tbl>
    <w:p>
      <w:pPr>
        <w:pStyle w:val="719"/>
        <w:keepNext/>
        <w:pBdr/>
        <w:spacing w:after="100" w:before="280"/>
        <w:ind/>
        <w:rPr/>
      </w:pPr>
      <w:r>
        <w:t xml:space="preserve">Hai luật giữ cho việc mở rộng không thành đống rác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Trình trước khi ghi. Trợ lý nêu tên + một dòng lý do; bạn gật mới thêm vào bộ khung.</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quy trình thì thêm luôn một dòng vào danh mục ở trang chỉ đường — không ghi vào danh mục thì lần sau trợ lý không tự tìm ra nó.</w:t>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Không phải thứ gì cũng nên thành quy trình.  </w:t>
      </w:r>
      <w:r>
        <w:rPr>
          <w:rFonts w:ascii="Calibri" w:hAnsi="Calibri" w:eastAsia="Calibri" w:cs="Calibri"/>
          <w:color w:val="1a2233"/>
          <w:sz w:val="21"/>
          <w:szCs w:val="21"/>
        </w:rPr>
        <w:t xml:space="preserve">Việc chỉ làm một lần thì cứ nhờ trực tiếp. Chỉ đóng thành quy trình khi bạn thấy mình dặn lại cùng một cách làm tới lần thứ ba — lúc đó viết một lần, dùng mãi.</w:t>
      </w:r>
      <w:r/>
    </w:p>
    <w:p>
      <w:pPr>
        <w:pStyle w:val="719"/>
        <w:keepNext/>
        <w:pBdr/>
        <w:spacing w:after="100" w:before="280"/>
        <w:ind/>
        <w:rPr/>
      </w:pPr>
      <w:r>
        <w:t xml:space="preserve">Việc chạy tự động theo lịch</w:t>
      </w:r>
      <w:r/>
    </w:p>
    <w:p>
      <w:pPr>
        <w:pBdr/>
        <w:spacing w:after="120" w:line="278" w:lineRule="auto"/>
        <w:ind/>
        <w:rPr/>
      </w:pPr>
      <w:r>
        <w:rPr>
          <w:rFonts w:ascii="Calibri" w:hAnsi="Calibri" w:eastAsia="Calibri" w:cs="Calibri"/>
          <w:color w:val="1a2233"/>
          <w:sz w:val="21"/>
          <w:szCs w:val="21"/>
        </w:rPr>
        <w:t xml:space="preserve">Bạn có thể nhờ trợ lý viết sẵn một đoạn tự động cho việc lặp lại (kéo số, đổi định dạng, xuất báo cáo) rồi ĐẶT LỊCH chạy — lịch dùng tác vụ định kỳ của Cowork. Bộ khung góp phần nội dung: đoạn tự động để ở scripts/, còn mỗi việc định kỳ có một ngăn riêng trong tasks/ ghi rõ việc đó làm gì, lấy số ở đâu, ra sản phẩm nào. Câu đặt lịch vì thế chỉ một dòng — “Chạy việc trong tasks/01_weekly/spec.md” — còn cách làm nằm trong file đó. Đổi cách làm thì sửa file, không phải sửa lịch. Mỗi file việc bắt buộc có bốn mục: nhịp · câu đặt lịch · các bước · sản phẩm giao đi; thiếu mục nào thì công cụ kiểm chuẩn báo đỏ, vì phiên chạy theo lịch là phiên trắng — không ai kể lại việc cho nó. Và mỗi lịch đã đặt được ghi lại một dòng trong tasks/SCHEDULE.md — nhịp cùng đúng câu đã dán — nên mở file ra là biết dự án đang chạy lịch gì, không phải mở app lên dò từng cái.</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Phần kho nhớ không có lịch cho bạn.  </w:t>
      </w:r>
      <w:r>
        <w:rPr>
          <w:rFonts w:ascii="Calibri" w:hAnsi="Calibri" w:eastAsia="Calibri" w:cs="Calibri"/>
          <w:color w:val="1a2233"/>
          <w:sz w:val="21"/>
          <w:szCs w:val="21"/>
        </w:rPr>
        <w:t xml:space="preserve">Lịch bên trong nó chỉ tự dọn dẹp kho nhớ — dựng chỉ mục tìm kiếm và đồng bộ giữa các máy — và chạy trên máy thật, nơi Cowork không với tới. Nên việc định kỳ trong Cowork thì dùng lịch của Cowork; hai bên không nối vào nhau, và không có gì phải cấu hình cho khớp.</w:t>
      </w:r>
      <w:r/>
    </w:p>
    <w:p>
      <w:pPr>
        <w:pStyle w:val="718"/>
        <w:keepNext/>
        <w:pBdr/>
        <w:spacing w:after="130" w:before="300"/>
        <w:ind/>
        <w:rPr/>
      </w:pPr>
      <w:bookmarkStart w:id="9013" w:name="_Toc013"/>
      <w:r>
        <w:rPr>
          <w:rFonts w:ascii="Calibri" w:hAnsi="Calibri" w:eastAsia="Calibri" w:cs="Calibri"/>
          <w:b/>
          <w:bCs/>
          <w:color w:val="1f3a5f"/>
          <w:sz w:val="28"/>
          <w:szCs w:val="28"/>
        </w:rPr>
        <w:t xml:space="preserve">13.  Chọn model và mức nỗ lực</w:t>
      </w:r>
      <w:r/>
      <w:bookmarkEnd w:id="9013"/>
    </w:p>
    <w:p>
      <w:pPr>
        <w:pBdr/>
        <w:spacing w:after="120" w:line="278" w:lineRule="auto"/>
        <w:ind/>
        <w:rPr/>
      </w:pPr>
      <w:r>
        <w:rPr>
          <w:rFonts w:ascii="Calibri" w:hAnsi="Calibri" w:eastAsia="Calibri" w:cs="Calibri"/>
          <w:color w:val="1a2233"/>
          <w:sz w:val="21"/>
          <w:szCs w:val="21"/>
        </w:rPr>
        <w:t xml:space="preserve">Ở ô chat có một nút hiện tên model đang dùng kèm mức nỗ lực — ví dụ “Opus 4.8  Medium”. Bấm vào đó để đổi. Hai thứ này ảnh hưởng trực tiếp tới việc bạn giao: model quyết định trợ lý khá tới đâu, còn mức nỗ lực quyết định nó chịu suy nghĩ bao lâu trước khi trả lời.</w:t>
      </w:r>
      <w:r/>
    </w:p>
    <w:p>
      <w:pPr>
        <w:pStyle w:val="719"/>
        <w:keepNext/>
        <w:pBdr/>
        <w:spacing w:after="100" w:before="280"/>
        <w:ind/>
        <w:rPr/>
      </w:pPr>
      <w:r>
        <w:t xml:space="preserve">Đổi model</w:t>
      </w:r>
      <w:r/>
    </w:p>
    <w:p>
      <w:pPr>
        <w:pBdr/>
        <w:spacing w:after="120" w:line="278" w:lineRule="auto"/>
        <w:ind/>
        <w:rPr/>
      </w:pPr>
      <w:r>
        <w:rPr>
          <w:rFonts w:ascii="Calibri" w:hAnsi="Calibri" w:eastAsia="Calibri" w:cs="Calibri"/>
          <w:color w:val="1a2233"/>
          <w:sz w:val="21"/>
          <w:szCs w:val="21"/>
        </w:rPr>
        <w:t xml:space="preserve">Bấm nút đó → More models. Danh sách có bản mới (Fable 5 · Opus 5 · Sonnet 5 · Haiku 4.5) và các bản cũ (Opus 4.7 · 4.6 · 3 · Sonnet 4.6). Dòng nào ghi “Requires usage credits” thì cần tín dụng riêng — bấm mà chưa có thì nó không chạy, và đó không phải lỗi bộ khung.</w:t>
      </w:r>
      <w:r/>
    </w:p>
    <w:p>
      <w:pPr>
        <w:keepLines/>
        <w:pBdr/>
        <w:spacing/>
        <w:ind/>
        <w:rPr>
          <w:highlight w:val="none"/>
        </w:rPr>
      </w:pPr>
      <w:r/>
      <w:r>
        <mc:AlternateContent>
          <mc:Choice Requires="wpg">
            <w:drawing>
              <wp:inline xmlns:wp="http://schemas.openxmlformats.org/drawingml/2006/wordprocessingDrawing" distT="0" distB="0" distL="0" distR="0">
                <wp:extent cx="3867150" cy="37719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pick.png"/>
                        <pic:cNvPicPr>
                          <a:picLocks noChangeAspect="1"/>
                        </pic:cNvPicPr>
                        <pic:nvPr/>
                      </pic:nvPicPr>
                      <pic:blipFill rotWithShape="1">
                        <a:blip r:embed="rId20"/>
                        <a:srcRect l="0" t="15910" r="0" b="0"/>
                        <a:stretch/>
                      </pic:blipFill>
                      <pic:spPr bwMode="auto">
                        <a:xfrm flipH="0" flipV="0">
                          <a:off x="0" y="0"/>
                          <a:ext cx="3867150" cy="3771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pStyle w:val="719"/>
        <w:keepNext/>
        <w:pBdr/>
        <w:spacing w:after="100" w:before="280"/>
        <w:ind/>
        <w:rPr/>
      </w:pPr>
      <w:r>
        <w:t xml:space="preserve">Mức nỗ lực — Effort</w:t>
      </w:r>
      <w:r/>
    </w:p>
    <w:p>
      <w:pPr>
        <w:pBdr/>
        <w:spacing w:after="120" w:line="278" w:lineRule="auto"/>
        <w:ind/>
        <w:rPr/>
      </w:pPr>
      <w:r>
        <w:rPr>
          <w:rFonts w:ascii="Calibri" w:hAnsi="Calibri" w:eastAsia="Calibri" w:cs="Calibri"/>
          <w:color w:val="1a2233"/>
          <w:sz w:val="21"/>
          <w:szCs w:val="21"/>
        </w:rPr>
        <w:t xml:space="preserve">Bấm nút đó → Effort. Có năm mức: Low · Medium · High (mặc định) · Extra · Max, kèm công tắc Thinking cho việc cần suy nghĩ nhiều. Chính menu ghi rõ đánh đổi: nỗ lực cao hơn thì trả lời kỹ hơn, nhưng LÂU hơn và ĂN HẠN MỨC nhanh hơn.</w:t>
      </w:r>
      <w:r/>
    </w:p>
    <w:p>
      <w:pPr>
        <w:keepLines/>
        <w:pBdr/>
        <w:spacing/>
        <w:ind/>
        <w:rPr>
          <w:highlight w:val="none"/>
        </w:rPr>
      </w:pPr>
      <w:r/>
      <w:r>
        <mc:AlternateContent>
          <mc:Choice Requires="wpg">
            <w:drawing>
              <wp:inline xmlns:wp="http://schemas.openxmlformats.org/drawingml/2006/wordprocessingDrawing" distT="0" distB="0" distL="0" distR="0">
                <wp:extent cx="4867275" cy="31908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effort.png"/>
                        <pic:cNvPicPr>
                          <a:picLocks noChangeAspect="1"/>
                        </pic:cNvPicPr>
                        <pic:nvPr/>
                      </pic:nvPicPr>
                      <pic:blipFill rotWithShape="1">
                        <a:blip r:embed="rId21"/>
                        <a:srcRect l="0" t="15910" r="0" b="0"/>
                        <a:stretch/>
                      </pic:blipFill>
                      <pic:spPr bwMode="auto">
                        <a:xfrm flipH="0" flipV="0">
                          <a:off x="0" y="0"/>
                          <a:ext cx="4867275" cy="3190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Chọn thế nào cho khỏi tốn vô ích.  </w:t>
      </w:r>
      <w:r>
        <w:rPr>
          <w:rFonts w:ascii="Calibri" w:hAnsi="Calibri" w:eastAsia="Calibri" w:cs="Calibri"/>
          <w:color w:val="1a2233"/>
          <w:sz w:val="21"/>
          <w:szCs w:val="21"/>
        </w:rPr>
        <w:t xml:space="preserve">Việc phải PHÁN ĐOÁN — dựng bộ khung lần đầu, nắn lại thư mục, soi toàn diện, quyết định cách trình bày — thì nỗ lực cao đáng tiền, vì sai một lần sửa lâu hơn phần tiết kiệm được. Việc đã có đường vạch sẵn trong ngăn việc — điền số vào mẫu, xuất báo cáo định kỳ — thì mức thường là đủ; đẩy lên cao chỉ tốn hạn mức mà kết quả không khác. Đổi model giữa dự án KHÔNG mất gì, vì bộ khung là file văn bản, không gắn với model nào; nhưng đừng đổi giữa lúc đang làm dở một việc.</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 Id="rId20" Type="http://schemas.openxmlformats.org/officeDocument/2006/relationships/image" Target="media/image8.png"/><Relationship Id="rId21"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