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r>
        <w:rPr>
          <w:b/>
        </w:rPr>
        <w:t xml:space="preserve">Rồi — Bỏ bước duyệt từng lệnh</w:t>
      </w:r>
    </w:p>
    <w:p>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pBdr/>
        <w:spacing/>
        <w:ind/>
        <w:rPr/>
      </w:pPr>
      <w:r>
        <w:rPr>
          <w:b/>
        </w:rPr>
        <w:t xml:space="preserve">Cuối — Dán câu lệnh dựng bộ khung</w:t>
      </w:r>
      <w:r/>
    </w:p>
    <w:p>
      <w:pPr>
        <w:pBdr/>
        <w:spacing/>
        <w:ind/>
        <w:rPr/>
      </w:pPr>
      <w:r>
        <w:t xml:space="preserve">Ở ô chat, dán câu ở phần “Lần đầu — nhờ dựng bộ khung” ngay bên dưới. Trợ lý sẽ tự làm phần còn lại.</w:t>
      </w:r>
      <w:r/>
    </w:p>
    <w:p>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10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