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41"/>
          <w:sz w:val="32"/>
          <w:szCs w:val="32"/>
        </w:rPr>
        <w:t xml:space="preserve">Business Process Modeling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Football Club Performance &amp; Transfer Management System — Player Transfer Workflow</w:t>
      </w:r>
    </w:p>
    <w:p>
      <w:pPr>
        <w:spacing w:after="160"/>
        <w:jc w:val="center"/>
      </w:pPr>
      <w:r>
        <w:drawing>
          <wp:inline distT="0" distB="0" distL="0" distR="0">
            <wp:extent cx="6096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</w:pPr>
      <w:r>
        <w:rPr>
          <w:b/>
          <w:bCs/>
          <w:color w:val="1B2A41"/>
          <w:sz w:val="22"/>
          <w:szCs w:val="22"/>
        </w:rPr>
        <w:t xml:space="preserve">System Scope</w:t>
      </w:r>
    </w:p>
    <w:p>
      <w:pPr>
        <w:spacing w:after="140"/>
      </w:pPr>
      <w:r>
        <w:rPr>
          <w:sz w:val="21"/>
          <w:szCs w:val="21"/>
        </w:rPr>
        <w:t xml:space="preserve">The process covers the end-to-end handling of a player transfer request: from initiation by a club administrator, through automated eligibility and business-rule checks performed by the Oracle database, to confirmation and visibility for the coaching staff.</w:t>
      </w:r>
    </w:p>
    <w:p>
      <w:pPr>
        <w:spacing w:after="80" w:before="60"/>
      </w:pPr>
      <w:r>
        <w:rPr>
          <w:b/>
          <w:bCs/>
          <w:color w:val="1B2A41"/>
          <w:sz w:val="22"/>
          <w:szCs w:val="22"/>
        </w:rPr>
        <w:t xml:space="preserve">Actors &amp; Processes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Club Administrator</w:t>
      </w:r>
      <w:r>
        <w:rPr>
          <w:sz w:val="21"/>
          <w:szCs w:val="21"/>
        </w:rPr>
        <w:t xml:space="preserve"> — initiates the transfer request and receives either a rejection notice or a confirmation.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System (Oracle DB / PL-SQL)</w:t>
      </w:r>
      <w:r>
        <w:rPr>
          <w:sz w:val="21"/>
          <w:szCs w:val="21"/>
        </w:rPr>
        <w:t xml:space="preserve"> — validates transfer eligibility via fn_is_transfer_eligible, checks whether the current date is a blocked weekday or public holiday, either raises a custom exception (ORA-20001) or executes the transfer via proc_execute_transfer, and logs the outcome to audit_log.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Coach</w:t>
      </w:r>
      <w:r>
        <w:rPr>
          <w:sz w:val="21"/>
          <w:szCs w:val="21"/>
        </w:rPr>
        <w:t xml:space="preserve"> — views the updated squad and transfer activity through the Power BI dashboard once a transfer is confirmed.</w:t>
      </w:r>
    </w:p>
    <w:p>
      <w:pPr>
        <w:spacing w:after="80" w:before="60"/>
      </w:pPr>
      <w:r>
        <w:rPr>
          <w:b/>
          <w:bCs/>
          <w:color w:val="1B2A41"/>
          <w:sz w:val="22"/>
          <w:szCs w:val="22"/>
        </w:rPr>
        <w:t xml:space="preserve">Workflow Summary</w:t>
      </w:r>
    </w:p>
    <w:p>
      <w:pPr>
        <w:spacing w:after="40"/>
      </w:pPr>
      <w:r>
        <w:rPr>
          <w:sz w:val="21"/>
          <w:szCs w:val="21"/>
        </w:rPr>
        <w:t xml:space="preserve">The workflow begins when an administrator initiates a transfer request. The system first checks contract-based eligibility, then evaluates the weekday/public-holiday business rule. If the request falls on a blocked day, the system raises a custom exception and the administrator receives a rejection notice — no data is changed. If the request is allowed, the system executes the transfer, updates the player's club, and writes a full audit record before the administrator receives confirmation and the coach sees the updated squad on the dashboard.</w:t>
      </w:r>
    </w:p>
    <w:sectPr>
      <w:head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DPR400210 — Phase II: Business Process Modeling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b5a1dd7b244b221fe5ee336353654ae34e8261d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2026-07-14T23:59:52.428Z</dcterms:created>
  <dcterms:modified xsi:type="dcterms:W3CDTF">2026-07-14T23:59:52.428Z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