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Valutazione d'impatto sulla protezione dei dati (DPIA)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>Ultimo aggiornamento: 21 settembre 2026 · Versione 1.1</w:t>
      </w:r>
    </w:p>
    <w:p>
      <w:pPr>
        <w:pBdr>
          <w:bottom w:val="single" w:color="2E3A59" w:sz="6"/>
        </w:pBdr>
        <w:spacing w:after="260"/>
      </w:pPr>
    </w:p>
    <w:p>
      <w:pPr>
        <w:pStyle w:val="Heading2"/>
        <w:spacing w:after="100" w:before="220"/>
      </w:pPr>
      <w:r>
        <w:t xml:space="preserve">Oggetto</w:t>
      </w:r>
    </w:p>
    <w:p>
      <w:pPr>
        <w:spacing w:after="140" w:line="300"/>
        <w:jc w:val="both"/>
      </w:pPr>
      <w:r>
        <w:t xml:space="preserve">Valutazione d'impatto sulla protezione dei dati (Data Protection Impact Assessment, DPIA) ai sensi dell'art. 35 GDPR relativa alla piattaforma </w:t>
      </w:r>
      <w:r>
        <w:rPr>
          <w:b/>
          <w:bCs/>
        </w:rPr>
        <w:t xml:space="preserve">TrainMind AI</w:t>
      </w:r>
      <w:r>
        <w:t xml:space="preserve"> gestita da </w:t>
      </w:r>
      <w:r>
        <w:rPr>
          <w:b/>
          <w:bCs/>
        </w:rPr>
        <w:t xml:space="preserve">[RAGIONE SOCIALE / NOME TITOLARE]</w:t>
      </w:r>
      <w:r>
        <w:t xml:space="preserve"> (il "</w:t>
      </w:r>
      <w:r>
        <w:rPr>
          <w:b/>
          <w:bCs/>
        </w:rPr>
        <w:t xml:space="preserve">Titolare</w:t>
      </w:r>
      <w:r>
        <w:t xml:space="preserve">"), con particolare riferimento al trattamento </w:t>
      </w:r>
      <w:r>
        <w:rPr>
          <w:b/>
          <w:bCs/>
        </w:rPr>
        <w:t xml:space="preserve">combinato</w:t>
      </w:r>
      <w:r>
        <w:t xml:space="preserve"> di dati sanitari e di fitness, profilazione mediante intelligenza artificiale e utenti minorenni (14–17 anni).</w:t>
      </w:r>
    </w:p>
    <w:p>
      <w:pPr>
        <w:pStyle w:val="Heading1"/>
        <w:spacing w:after="120" w:before="300"/>
      </w:pPr>
      <w:r>
        <w:t xml:space="preserve">1. Perché una DPIA è necessaria</w:t>
      </w:r>
    </w:p>
    <w:p>
      <w:pPr>
        <w:spacing w:after="140" w:line="300"/>
        <w:jc w:val="both"/>
      </w:pPr>
      <w:r>
        <w:t xml:space="preserve">La DPIA è obbligatoria ai sensi dell'art. 35(3) GDPR e in linea con l'Allegato 1 del Provvedimento del Garante 11 ottobre 2018 (elenco dei trattamenti soggetti a DPIA). Nel caso di specie ricorrono almeno tre dei criteri WP29 (WP248):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Categorie particolari di dati</w:t>
      </w:r>
      <w:r>
        <w:t xml:space="preserve"> (art. 9 GDPR): dati relativi alla salute e allo stato psico-fisico degli atleti;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Profilazione</w:t>
      </w:r>
      <w:r>
        <w:t xml:space="preserve"> ed elaborazione predittiva mediante modelli di IA su carichi e prestazioni;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Dati di soggetti vulnerabili</w:t>
      </w:r>
      <w:r>
        <w:t xml:space="preserve">: utenti minorenni (14–17 anni);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Uso innovativo di nuove tecnologie</w:t>
      </w:r>
      <w:r>
        <w:t xml:space="preserve"> (IA generativa applicata alla programmazione di allenamento);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Trattamento su larga scala</w:t>
      </w:r>
      <w:r>
        <w:t xml:space="preserve"> al superamento di soglie utenti prevedibili.</w:t>
      </w:r>
    </w:p>
    <w:p>
      <w:pPr>
        <w:pStyle w:val="Heading1"/>
        <w:spacing w:after="120" w:before="300"/>
      </w:pPr>
      <w:r>
        <w:t xml:space="preserve">2. Descrizione sistematica del trattamento</w:t>
      </w:r>
    </w:p>
    <w:p>
      <w:pPr>
        <w:spacing w:after="140" w:line="300"/>
        <w:jc w:val="both"/>
      </w:pPr>
      <w:r>
        <w:t xml:space="preserve">La piattaforma raccoglie dati di allenamento, prestazioni, wellness (RPE, sonno, mood), parametri corporei e infortuni. Un modello di IA (proprietario e/o di terzi come </w:t>
      </w:r>
      <w:r>
        <w:rPr>
          <w:b/>
          <w:bCs/>
        </w:rPr>
        <w:t xml:space="preserve">[FORNITORE IA]</w:t>
      </w:r>
      <w:r>
        <w:t xml:space="preserve">) elabora tali dati per generare piani di allenamento, adattamenti e analisi di rendimento. I dati sono immessi dall'utente o da un allenatore delegato. L'accesso è protetto da autenticazione; per gli allenatori/società esiste un piano dedicato (contitolarità/responsabilità disciplinata da DPA).</w:t>
      </w:r>
    </w:p>
    <w:p>
      <w:pPr>
        <w:spacing w:after="140" w:line="300"/>
        <w:jc w:val="both"/>
      </w:pPr>
      <w:r>
        <w:t xml:space="preserve">Flussi principali: registrazione → consenso esplicito ai dati salute → immissione dati → elaborazione IA → visualizzazione output → azione dell'utente/allenatore. Tutti gli output IA sono etichettati come tali e soggetti a supervisione umana.</w:t>
      </w:r>
    </w:p>
    <w:p>
      <w:pPr>
        <w:pStyle w:val="Heading1"/>
        <w:spacing w:after="120" w:before="300"/>
      </w:pPr>
      <w:r>
        <w:t xml:space="preserve">3. Necessità e proporzionalità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Base giuridica adeguata</w:t>
      </w:r>
      <w:r>
        <w:t xml:space="preserve">: art. 9(2)(a) GDPR — consenso esplicito documentato per i dati salute; art. 6(1)(b) per l'esecuzione del contratto.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>Minimizzazione: raccolta limitata ai dati funzionali; parametri opzionali chiaramente indicati; possibilità di disattivare feature IA. Dal 21/09/2026 i dati identificativi degli atleti sono separati strutturalmente dai dati sanitari: nome, cognome, data di nascita, email e foto risiedono in una tabella dedicata, mentre infortuni, wellness e carichi sono collegati al solo identificativo tecnico. Per le finalita' di analisi e reportistica si opera su dati che non consentono di risalire alla persona senza un accesso ulteriore, riservato all'applicativo.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Trasparenza</w:t>
      </w:r>
      <w:r>
        <w:t xml:space="preserve">: informativa completa, TL;DR, avvisi in-app sull'IA (art. 50 AI Act).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Diritti</w:t>
      </w:r>
      <w:r>
        <w:t xml:space="preserve">: esercizio semplificato via impostazioni account (esportazione, cancellazione); revoca consenso in un click.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/>
      </w:r>
      <w:r>
        <w:rPr>
          <w:b/>
          <w:bCs/>
        </w:rPr>
        <w:t xml:space="preserve">Trasferimenti</w:t>
      </w:r>
      <w:r>
        <w:t xml:space="preserve">: SCC/DPF con TIA per i fornitori extra-SEE.</w:t>
      </w:r>
    </w:p>
    <w:p>
      <w:pPr>
        <w:pStyle w:val="Heading1"/>
        <w:spacing w:after="120" w:before="300"/>
      </w:pPr>
      <w:r>
        <w:t xml:space="preserve">4. Rischi identificati e valutazione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500"/>
      </w:tblGrid>
      <w:tr>
        <w:trPr>
          <w:tblHeader/>
        </w:trPr>
        <w:tc>
          <w:tcPr>
            <w:tcW w:type="dxa" w:w="26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Rischio</w:t>
            </w:r>
          </w:p>
        </w:tc>
        <w:tc>
          <w:tcPr>
            <w:tcW w:type="dxa" w:w="21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Probabilità</w:t>
            </w:r>
          </w:p>
        </w:tc>
        <w:tc>
          <w:tcPr>
            <w:tcW w:type="dxa" w:w="21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Gravità</w:t>
            </w:r>
          </w:p>
        </w:tc>
        <w:tc>
          <w:tcPr>
            <w:tcW w:type="dxa" w:w="25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Mitigazioni chiave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Accesso non autorizzato a dati salute (data breach)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>Cifratura a riposo; MFA per staff; RBAC; audit; piano incident response con notifica 72h. Dal 21/09/2026 separazione strutturale delle identità (pseudonimizzazione ex art. 32(1)(a)): i dati sanitari non contengono dati identificativi e il ruolo di reportistica non ha accesso alla tabella delle identità. Un accesso non autorizzato limitato ai soli dati clinici non consente di per sé l'identificazione degli interessati.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 IA inappropriati per la salute dell'utente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Etichetta AI-generated; disclaimer medico; supervisione umana; guardrail nei prompt; canale di segnalazione.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dei dati per training di modelli terzi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Divieto contrattuale nei DPA con provider IA; pseudonimizzazione; audit periodici.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Trattamento di minori senza valido consenso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di nascita obbligatoria al signup; gate 14+; modulo consenso genitoriale; verifica documento identità del genitore.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Profilazione con effetti discriminatori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Nessuna decisione solo automatizzata; possibilità di revisione umana; test di equità sugli output.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Trasferimento extra-SEE non conforme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DPF/SCC + TIA; mappa dei flussi; misure supplementari (cifratura, pseudonimizzazione).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Perdita di disponibilità dei dati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Bassa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cifrati con test di restore; rotazione ≤ 90 gg; DR plan.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improprio da parte del coach/società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DPA ex art. 28 con obblighi vincolanti; log accessi; AUP; policy sanzionatoria.</w:t>
            </w:r>
          </w:p>
        </w:tc>
      </w:tr>
    </w:tbl>
    <w:p>
      <w:pPr>
        <w:spacing w:after="140"/>
      </w:pPr>
    </w:p>
    <w:p>
      <w:pPr>
        <w:pStyle w:val="Heading1"/>
        <w:spacing w:after="120" w:before="300"/>
      </w:pPr>
      <w:r>
        <w:t xml:space="preserve">5. Rischio residuo e consultazione preventiva</w:t>
      </w:r>
    </w:p>
    <w:p>
      <w:pPr>
        <w:spacing w:after="140" w:line="300"/>
        <w:jc w:val="both"/>
      </w:pPr>
      <w:r>
        <w:t xml:space="preserve">Applicate le mitigazioni sopra indicate, il rischio residuo è valutato </w:t>
      </w:r>
      <w:r>
        <w:rPr>
          <w:b/>
          <w:bCs/>
        </w:rPr>
        <w:t xml:space="preserve">BASSO/MEDIO</w:t>
      </w:r>
      <w:r>
        <w:t xml:space="preserve"> e non richiede consultazione preventiva del Garante ex art. 36 GDPR. La valutazione sarà riesaminata: (i) prima del lancio delle funzionalità di IA generativa aggiuntive; (ii) al superamento di soglie utenti significative; (iii) in caso di modifiche sostanziali; (iv) annualmente.</w:t>
      </w:r>
    </w:p>
    <w:p>
      <w:pPr>
        <w:spacing w:after="140" w:line="300"/>
        <w:jc w:val="both"/>
      </w:pPr>
      <w:r>
        <w:t>Aggiornamento del 21 settembre 2026: è stata introdotta in produzione la separazione strutturale delle identità degli atleti e la de-identificazione dei prompt inviati ai fornitori di modelli IA. La misura incide sui rischi R1 (accesso non autorizzato a dati salute) e R3 (uso dei dati per training di modelli terzi); la rivalutazione dei rispettivi livelli di probabilità e gravità è rimessa al Titolare in sede di prossimo riesame. Resta fermo che i dati pseudonimizzati restano dati personali ai sensi del Considerando 26 GDPR e che la misura non sostituisce le altre garanzie qui documentate.</w:t>
      </w:r>
    </w:p>
    <w:p>
      <w:pPr>
        <w:pStyle w:val="Heading1"/>
        <w:spacing w:after="120" w:before="300"/>
      </w:pPr>
      <w:r>
        <w:t xml:space="preserve">6. Documentazione e revisione</w:t>
      </w:r>
    </w:p>
    <w:p>
      <w:pPr>
        <w:spacing w:after="140" w:line="300"/>
        <w:jc w:val="both"/>
      </w:pPr>
      <w:r>
        <w:t xml:space="preserve">La presente DPIA è approvata dal Titolare in data </w:t>
      </w:r>
      <w:r>
        <w:rPr>
          <w:b/>
          <w:bCs/>
        </w:rPr>
        <w:t xml:space="preserve">[DATA]</w:t>
      </w:r>
      <w:r>
        <w:t xml:space="preserve">, con il coinvolgimento del DPO (ove designato) e del responsabile tecnico. La documentazione (registro trattamenti, DPA, TIA, piano di risposta agli incidenti, esiti dei test di sicurezza) è archiviata in </w:t>
      </w:r>
      <w:r>
        <w:rPr>
          <w:b/>
          <w:bCs/>
        </w:rPr>
        <w:t xml:space="preserve">[LUOGO ARCHIVIO INTERNO]</w:t>
      </w:r>
      <w:r>
        <w:t xml:space="preserve"> ed è disponibile in caso di ispezione.</w:t>
      </w:r>
    </w:p>
    <w:p>
      <w:pPr>
        <w:pStyle w:val="Heading1"/>
        <w:spacing w:after="120" w:before="300"/>
      </w:pPr>
      <w:r>
        <w:t xml:space="preserve">Firma e approvazione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Titolare (rappresentante legale): __________________________________  Data: 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DPO (se designato): __________________________________  Data: __________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Responsabile tecnico/sicurezza: __________________________________  Data: __________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2026-07-22T13:13:43.726Z</dcterms:created>
  <dcterms:modified xsi:type="dcterms:W3CDTF">2026-07-22T13:13:43.726Z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