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A6B8C"/>
          <w:sz w:val="22"/>
          <w:szCs w:val="22"/>
        </w:rPr>
        <w:t xml:space="preserve">TrainMind AI</w:t>
      </w:r>
    </w:p>
    <w:p>
      <w:pPr>
        <w:pStyle w:val="Title"/>
        <w:spacing w:after="100"/>
      </w:pPr>
      <w:r>
        <w:rPr>
          <w:b/>
          <w:bCs/>
        </w:rPr>
        <w:t xml:space="preserve">Registro delle attività di trattamento (art. 30 GDPR)</w:t>
      </w:r>
    </w:p>
    <w:p>
      <w:pPr>
        <w:spacing w:after="60"/>
      </w:pPr>
      <w:r>
        <w:rPr>
          <w:i/>
          <w:iCs/>
          <w:color w:val="666666"/>
          <w:sz w:val="20"/>
          <w:szCs w:val="20"/>
        </w:rPr>
        <w:t>Ultimo aggiornamento: 21 settembre 2026 · Versione 1.1</w:t>
      </w:r>
    </w:p>
    <w:p>
      <w:pPr>
        <w:pBdr>
          <w:bottom w:val="single" w:color="2E3A59" w:sz="6"/>
        </w:pBdr>
        <w:spacing w:after="260"/>
      </w:pPr>
    </w:p>
    <w:p>
      <w:pPr>
        <w:spacing w:after="140" w:line="300"/>
        <w:jc w:val="both"/>
      </w:pPr>
      <w:r>
        <w:t xml:space="preserve">Registro tenuto da </w:t>
      </w:r>
      <w:r>
        <w:rPr>
          <w:b/>
          <w:bCs/>
        </w:rPr>
        <w:t xml:space="preserve">[RAGIONE SOCIALE / NOME TITOLARE]</w:t>
      </w:r>
      <w:r>
        <w:t xml:space="preserve"> in qualità di </w:t>
      </w:r>
      <w:r>
        <w:rPr>
          <w:b/>
          <w:bCs/>
        </w:rPr>
        <w:t xml:space="preserve">Titolare del trattamento</w:t>
      </w:r>
      <w:r>
        <w:t xml:space="preserve">, ai sensi dell'art. 30, par. 1, del Regolamento (UE) 2016/679 ("GDPR"). Il registro è aggiornato al 21 luglio 2026 · Versione 1.0 e viene riesaminato almeno annualmente e in occasione di modifiche sostanziali.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/>
      </w:r>
      <w:r>
        <w:rPr>
          <w:b/>
          <w:bCs/>
        </w:rPr>
        <w:t xml:space="preserve">Titolare</w:t>
      </w:r>
      <w:r>
        <w:t xml:space="preserve">: </w:t>
      </w:r>
      <w:r>
        <w:rPr>
          <w:b/>
          <w:bCs/>
        </w:rPr>
        <w:t xml:space="preserve">[RAGIONE SOCIALE / NOME TITOLARE]</w:t>
      </w:r>
      <w:r>
        <w:t xml:space="preserve"> — sede: </w:t>
      </w:r>
      <w:r>
        <w:rPr>
          <w:b/>
          <w:bCs/>
        </w:rPr>
        <w:t xml:space="preserve">[SEDE LEGALE]</w:t>
      </w:r>
      <w:r>
        <w:t xml:space="preserve"> — contatto: </w:t>
      </w:r>
      <w:r>
        <w:rPr>
          <w:b/>
          <w:bCs/>
        </w:rPr>
        <w:t xml:space="preserve">[EMAIL DI CONTATTO]</w:t>
      </w:r>
      <w:r>
        <w:t xml:space="preserve"> — privacy: </w:t>
      </w:r>
      <w:r>
        <w:rPr>
          <w:b/>
          <w:bCs/>
        </w:rPr>
        <w:t xml:space="preserve">[EMAIL PRIVACY]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DPO: </w:t>
      </w:r>
      <w:r>
        <w:rPr>
          <w:b/>
          <w:bCs/>
        </w:rPr>
        <w:t xml:space="preserve">[nominativo e recapiti se designato — v. documento "Valutazione obbligo DPO"]</w:t>
      </w:r>
      <w:r>
        <w:t xml:space="preserve"/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Rappresentante nell'UE: N/A (titolare stabilito in UE)</w:t>
      </w:r>
    </w:p>
    <w:p>
      <w:pPr>
        <w:pStyle w:val="Heading1"/>
        <w:spacing w:after="120" w:before="300"/>
      </w:pPr>
      <w:r>
        <w:t xml:space="preserve">T1 · Gestione account utenti e prestazione del Servizio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Creazione e gestione dell'account utente; autenticazione; erogazione della piattaforma TrainMind AI (pianificazione, monitoraggio, sincronizzazione dispositivi).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registrati (atleti, allenatori, staff società); rappresentanti legali di minori.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identificativi (nome, cognome), email, hash password, data di nascita, ruolo, sport, lingua, informazioni di profilo, log di accesso, IP, user-agent.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GDPR — esecuzione del contratto.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hosting (Hetzner Cloud); provider email transazionale; personale interno autorizzato.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Nessuno sistematico. Eventuali servizi US via DPF/SCC.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Durata dell'account; cancellazione o anonimizzazione entro 30 giorni dalla chiusura; log di sicurezza fino a 12 mesi; backup fino a 90 giorni.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TLS 1.2+, hashing password (bcrypt/Argon2), RBAC, MFA per il personale, logging, backup cifrati, segregazione ambienti. Dal 21/09/2026 nome e cognome degli utenti staff sono conservati in una tabella distinta (user_identities) rispetto alle credenziali e ai dati operativi dell'account.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T2 · Dati sanitari e di fitness (art. 9 GDPR)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Registrazione allenamenti, prestazioni, parametri corporei; generazione di piani e analisi mediante IA; monitoraggio wellness e infortuni.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Atleti utilizzatori del Servizio (maggiorenni e minorenni 14+ con consenso genitoriale).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salute e fitness (categorie particolari): allenamenti, RPE, HR, peso, sonno, mood, infortuni, note antropometriche.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9(2)(a) GDPR — consenso esplicito. Consenso separato registrato in ConsentRecord con versione, lingua e IP.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hosting, provider di modelli IA (come responsabili ex art. 28), allenatore/staff scelto dall'atleta.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Provider IA: DPF/SCC. Dal 21/09/2026 i dati sanitari elaborati dal fornitore del modello sono privi di dati identificativi diretti (v. T3).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Fino alla revoca del consenso o cancellazione account; poi cancellazione o anonimizzazione irreversibile.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Separazione strutturale delle identità (misura di pseudonimizzazione ex art. 32(1)(a) GDPR), attiva dal 21/09/2026: nome, cognome, data di nascita, email e foto degli atleti sono conservati in una tabella distinta (athlete_identities); tutti i dati sanitari e di carico sono collegati al solo identificativo tecnico dell'atleta. Il ruolo di sola lettura usato per analisi e reportistica non ha alcun privilegio sulla tabella delle identità (assenza del privilegio SELECT verificata in produzione il 21/09/2026): chi interroga il database con quel ruolo vede i dati sanitari senza poterli ricondurre a una persona. Controlli di accesso più restrittivi; DPIA condotta (v. documento separato); logging degli accessi; backup cifrati. La cifratura a riposo a livello di singola colonna sulle cinque voci identificative è pianificata e non ancora attiva.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T3 · Elaborazione IA (prompt e output)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Generazione di suggerimenti di allenamento e analisi tramite modelli di IA; sicurezza e miglioramento del Servizio.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registrati.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Prompt inviati all'IA (possono contenere dati identificativi e di salute), output, metadati tecnici, ID account.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contratto per la funzionalità; Art. 9(2)(a) consenso esplicito ove trattati dati di salute.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IA come responsabili ex art. 28 GDPR (</w:t>
            </w:r>
            <w:r>
              <w:rPr>
                <w:b/>
                <w:bCs/>
                <w:sz w:val="19"/>
                <w:szCs w:val="19"/>
              </w:rPr>
              <w:t xml:space="preserve">[FORNITORE IA]</w:t>
            </w:r>
            <w:r>
              <w:rPr>
                <w:b w:val="false"/>
                <w:bCs w:val="false"/>
                <w:sz w:val="19"/>
                <w:szCs w:val="19"/>
              </w:rPr>
              <w:t xml:space="preserve">). Divieto contrattuale di uso per training del modello del terzo.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Eventuali provider US: DPF (se certificato) o SCC con TIA.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Durata account; comunque max 24 mesi per prompt/output nei nostri sistemi; presso il provider secondo il contratto (di norma ≤ 30 giorni).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>Pseudonimizzazione prima dell'invio, attiva dal 21/09/2026 e non più facoltativa per i nomi degli atleti: il riepilogo clinico inviato al fornitore del modello è costruito dal Titolare e identifica l'atleta con uno pseudonimo valido per la singola richiesta (A1, A2, ...); un nome eventualmente digitato dall'utente nel prompt viene mascherato prima dell'invio; la corrispondenza fra pseudonimo e persona non lascia l'infrastruttura del Titolare e viene ricostruita solo nella risposta mostrata all'utente. Canali cifrati; log audit; supervisione umana degli output.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T4 · Fatturazione e pagamenti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Gestione abbonamenti, incassi, fatturazione elettronica.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paganti (persone fisiche o rappresentanti di persone giuridiche).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Piano, storico transazioni, ultimi 4 cifre carta, indirizzo di fatturazione, P.IVA/CF.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6(1)(b) contratto; Art. 6(1)(c) obblighi fiscali (D.P.R. 633/1972, D.lgs. 127/2015 e s.m.i.).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Stripe (responsabile); consulente contabile; SdI/Agenzia delle Entrate.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Trasferimenti extra-SEE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Stripe: DPF/SCC.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10 anni (art. 2220 c.c. e obblighi fiscali).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Nessuna memorizzazione di PAN completo; tokenizzazione tramite Stripe; accessi limitati al personale amministrativo.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T5 · Comunicazioni di marketing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Newsletter, aggiornamenti prodotto, offerte promozionali, sondaggi.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 che hanno prestato consenso specifico.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Nome, email, preferenze, tracciamento apertura/click.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6(1)(a) — consenso.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destinatari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Provider email marketing come responsabile.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Fino a revoca del consenso o inattività 24 mesi.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Link di disiscrizione in ogni email; centro preferenze; log consenso e revoca.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T6 · Sicurezza e log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Prevenzione frodi/abusi; monitoraggio sicurezza; resilienza; difesa in giudizio.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interessati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Utenti; visitatori del sito.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IP, user-agent, timestamp, eventi di sicurezza, tentativi di login falliti.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6(1)(f) — legittimo interesse alla sicurezza e continuità del Servizio (LIA effettuata).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Max 12 mesi (rotazione).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Misure di sicurezza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Accesso limitato al personale sicurezza; log immutabili; alerting automatizzato.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T7 · Richieste degli interessati e adempimenti privacy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00"/>
      </w:tblGrid>
      <w:tr>
        <w:trPr>
          <w:tblHeader/>
        </w:trPr>
        <w:tc>
          <w:tcPr>
            <w:tcW w:type="dxa" w:w="33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000"/>
            <w:shd w:fill="E8EA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/>
                <w:bCs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Gestione delle richieste di esercizio dei diritti (artt. 15–22 GDPR); notifiche di data breach; adempimenti verso il Garante.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Categorie di dati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Dati necessari all'identificazione dell'interessato e al riscontro della richiesta.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Art. 6(1)(c) obbligo legale; Art. 9(2)(f) esercizio/difesa di diritti in sede giudiziaria ove pertinente.</w:t>
            </w:r>
          </w:p>
        </w:tc>
      </w:tr>
      <w:tr>
        <w:tc>
          <w:tcPr>
            <w:tcW w:type="dxa" w:w="3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Fascicolo pratica per 5 anni salvo contenzioso.</w:t>
            </w:r>
          </w:p>
        </w:tc>
      </w:tr>
    </w:tbl>
    <w:p>
      <w:pPr>
        <w:spacing w:after="140"/>
      </w:pPr>
    </w:p>
    <w:p>
      <w:pPr>
        <w:pStyle w:val="Heading1"/>
        <w:spacing w:after="120" w:before="300"/>
      </w:pPr>
      <w:r>
        <w:t xml:space="preserve">Revisioni</w:t>
      </w:r>
    </w:p>
    <w:p>
      <w:pPr>
        <w:spacing w:after="140" w:line="300"/>
        <w:jc w:val="both"/>
      </w:pPr>
      <w:r>
        <w:t>Il presente Registro è approvato dal Titolare in data [DATA]. Prossima revisione programmata: entro 12 mesi. Le modifiche sono tracciate nel changelog interno.</w:t>
      </w:r>
    </w:p>
    <w:p>
      <w:pPr>
        <w:spacing w:after="140" w:line="300"/>
        <w:jc w:val="both"/>
      </w:pPr>
      <w:r>
        <w:t>Versione 1.1 — 21 settembre 2026. Aggiornate le misure di sicurezza di T1, T2 e T3 e i trasferimenti di T2 a seguito dell'introduzione in produzione della separazione strutturale delle identità e della de-identificazione dei prompt IA.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rFonts w:ascii="Calibri" w:cs="Calibri" w:eastAsia="Calibri" w:hAnsi="Calibri"/>
      <w:b/>
      <w:bCs/>
      <w:color w:val="1F2A44"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2E3A5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3D4E73"/>
      <w:sz w:val="23"/>
      <w:szCs w:val="23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2026-07-22T13:13:43.469Z</dcterms:created>
  <dcterms:modified xsi:type="dcterms:W3CDTF">2026-07-22T13:13:43.490Z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