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Guida all'assicurazione RC Professionale / Tech E&amp;O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Il presente documento fornisce </w:t>
      </w:r>
      <w:r>
        <w:rPr>
          <w:b/>
          <w:bCs/>
        </w:rPr>
        <w:t xml:space="preserve">[RAGIONE SOCIALE / NOME TITOLARE]</w:t>
      </w:r>
      <w:r>
        <w:t xml:space="preserve"> indicazioni operative per la scelta di una copertura assicurativa adeguata al rischio derivante dall'attività di TrainMind AI (SaaS + IA per lo sport). Non costituisce consulenza assicurativa: le scelte vanno concordate con un broker.</w:t>
      </w:r>
    </w:p>
    <w:p>
      <w:pPr>
        <w:pStyle w:val="Heading1"/>
        <w:spacing w:after="120" w:before="300"/>
      </w:pPr>
      <w:r>
        <w:t xml:space="preserve">1. Perché serve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l'attività è </w:t>
      </w:r>
      <w:r>
        <w:rPr>
          <w:b/>
          <w:bCs/>
        </w:rPr>
        <w:t xml:space="preserve">non regolamentata</w:t>
      </w:r>
      <w:r>
        <w:t xml:space="preserve"> (assenza di un albo): la copertura E&amp;O è lo strumento tipico per proteggersi dai reclami di clienti che lamentano danni patrimoniali da errore/omissione;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il prodotto utilizza </w:t>
      </w:r>
      <w:r>
        <w:rPr>
          <w:b/>
          <w:bCs/>
        </w:rPr>
        <w:t xml:space="preserve">IA generativa</w:t>
      </w:r>
      <w:r>
        <w:t xml:space="preserve"> con impatto potenziale su salute e prestazione sportiva: alto rischio di reclami per output errati;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trattamento di </w:t>
      </w:r>
      <w:r>
        <w:rPr>
          <w:b/>
          <w:bCs/>
        </w:rPr>
        <w:t xml:space="preserve">dati sanitari</w:t>
      </w:r>
      <w:r>
        <w:t xml:space="preserve"> e minori: rischio di sanzioni GDPR e richieste di risarcimento (cyber);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 contratti B2B con società sportive medio-grandi, l'assicurazione è spesso </w:t>
      </w:r>
      <w:r>
        <w:rPr>
          <w:b/>
          <w:bCs/>
        </w:rPr>
        <w:t xml:space="preserve">requisito contrattuale</w:t>
      </w:r>
      <w:r>
        <w:t xml:space="preserve"> (evidence of insurance).</w:t>
      </w:r>
    </w:p>
    <w:p>
      <w:pPr>
        <w:pStyle w:val="Heading1"/>
        <w:spacing w:after="120" w:before="300"/>
      </w:pPr>
      <w:r>
        <w:t xml:space="preserve">2. Coperture consigliate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00"/>
      </w:tblGrid>
      <w:tr>
        <w:trPr>
          <w:tblHeader/>
        </w:trPr>
        <w:tc>
          <w:tcPr>
            <w:tcW w:type="dxa" w:w="26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Copertura</w:t>
            </w:r>
          </w:p>
        </w:tc>
        <w:tc>
          <w:tcPr>
            <w:tcW w:type="dxa" w:w="38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Cosa copre</w:t>
            </w:r>
          </w:p>
        </w:tc>
        <w:tc>
          <w:tcPr>
            <w:tcW w:type="dxa" w:w="29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Massimale indicativo iniziale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Tech E&amp;O / RC Errors &amp; Omissions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Danni patrimoniali a clienti per errori, omissioni, malfunzionamenti software/IA, ritardi, prestazione non conforme.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€ 1.000.000 – 2.000.000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Cyber &amp; Data Protection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breach, business interruption, sanzioni GDPR (ove assicurabili), costi di notifica, forensics, ransom (con cautele).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€ 1.000.000 – 3.000.000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RC Prodotti (Tech)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Danni a terzi da difetti del prodotto software/servizio (utile in combinato con E&amp;O).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€ 1.000.000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Media Liability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Diffamazione, violazione IP, contenuti pubblicati (marketing).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€ 250.000 – 500.000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RC verso Terzi generale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Danni fisici/materiali a terzi (uffici, meeting).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€ 500.000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Directors &amp; Officers (D&amp;O)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dopo la costituzione societaria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Responsabilità di amministratori e sindaci.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€ 500.000 – 1.000.000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3. Elementi chiave da negoziare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Definizione ampia di "AI/algorithmic error"</w:t>
      </w:r>
      <w:r>
        <w:t xml:space="preserve">: le polizze più recenti includono esplicitamente il rischio IA — verificalo in polizza (o pretendi un endorsement).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Retroattività</w:t>
      </w:r>
      <w:r>
        <w:t xml:space="preserve">: chiedi retro-date che coprano il periodo di sviluppo pre-lancio.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Territorialità e giurisdizione</w:t>
      </w:r>
      <w:r>
        <w:t xml:space="preserve">: coincidenza con i mercati target (UE almeno; USA se prevedi utenti US).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Sublimit e franchigie</w:t>
      </w:r>
      <w:r>
        <w:t xml:space="preserve">: attenzione ai sublimit per cyber e per sanzioni; franchigia aggregata annuale.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Esclusioni</w:t>
      </w:r>
      <w:r>
        <w:t xml:space="preserve">: verifica esclusioni per "bodily injury"; se possibile, ottieni una carve-back per lesioni derivanti da suggerimenti IA (spesso escluse — ecco perché servono disclaimer forti + supervisione umana).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Cyber sublimit per social engineering / phishing / crypto</w:t>
      </w:r>
      <w:r>
        <w:t xml:space="preserve">: chiarire.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Notice provisions</w:t>
      </w:r>
      <w:r>
        <w:t xml:space="preserve">: tempistiche di notifica del sinistro (di norma 30–60 giorni).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Right to defence</w:t>
      </w:r>
      <w:r>
        <w:t xml:space="preserve">: preferisci polizze duty-to-defend con studio legale scelto tra la lista dell'assicuratore.</w:t>
      </w:r>
    </w:p>
    <w:p>
      <w:pPr>
        <w:pStyle w:val="Heading1"/>
        <w:spacing w:after="120" w:before="300"/>
      </w:pPr>
      <w:r>
        <w:t xml:space="preserve">4. Provider e broker da valutare (mercato italiano/UE, luglio 2026)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Chubb</w:t>
      </w:r>
      <w:r>
        <w:t xml:space="preserve"> — Tech E&amp;O e Cyber, forte esperienza AI.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AIG</w:t>
      </w:r>
      <w:r>
        <w:t xml:space="preserve"> — Tech E&amp;O ampio, coperture per AI startup.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Zurich</w:t>
      </w:r>
      <w:r>
        <w:t xml:space="preserve"> — Tech E&amp;O + Cyber pacchettizzati.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Beazley</w:t>
      </w:r>
      <w:r>
        <w:t xml:space="preserve"> — leader nel Cyber e nel Tech E&amp;O.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Hiscox</w:t>
      </w:r>
      <w:r>
        <w:t xml:space="preserve"> — soluzioni per piccole/medie tech.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Liberty Specialty Markets</w:t>
      </w:r>
      <w:r>
        <w:t xml:space="preserve"> — Errors &amp; Omissions.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Corgi Insurance</w:t>
      </w:r>
      <w:r>
        <w:t xml:space="preserve"> (broker digitale UK/UE) — soluzioni per startup tech incl. AI.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Vertice Italia / Assiteca / Marsh / Aon</w:t>
      </w:r>
      <w:r>
        <w:t xml:space="preserve"> — broker generalisti con team tech.</w:t>
      </w:r>
    </w:p>
    <w:p>
      <w:pPr>
        <w:pStyle w:val="Heading1"/>
        <w:spacing w:after="120" w:before="300"/>
      </w:pPr>
      <w:r>
        <w:t xml:space="preserve">5. Passi operativi (checklist)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1. Redigi un </w:t>
      </w:r>
      <w:r>
        <w:rPr>
          <w:b/>
          <w:bCs/>
        </w:rPr>
        <w:t xml:space="preserve">risk profile</w:t>
      </w:r>
      <w:r>
        <w:t xml:space="preserve"> sintetico (n. utenti, dati trattati, integrazioni, mercati) — massimo 2 pagine.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2. Contatta 2–3 broker specializzati tech/cyber e richiedi quotazioni comparative.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3. Verifica compliance dei fornitori chiave (Stripe/IONOS/OpenAI/Anthropic hanno certificazioni SOC2/ISO27001 — utile per ridurre il premio).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4. Prima della sottoscrizione, chiedi al broker un </w:t>
      </w:r>
      <w:r>
        <w:rPr>
          <w:b/>
          <w:bCs/>
        </w:rPr>
        <w:t xml:space="preserve">gap analysis</w:t>
      </w:r>
      <w:r>
        <w:t xml:space="preserve">: cosa NON è coperto e come mitigare.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5. Documenta la copertura in una scheda accessibile ai clienti B2B (senza dati sensibili).</w:t>
      </w:r>
    </w:p>
    <w:p>
      <w:pPr>
        <w:pStyle w:val="Heading1"/>
        <w:spacing w:after="120" w:before="300"/>
      </w:pPr>
      <w:r>
        <w:t xml:space="preserve">6. Ordine di priorità (budget-oriented)</w:t>
      </w:r>
    </w:p>
    <w:p>
      <w:pPr>
        <w:spacing w:after="140" w:line="300"/>
        <w:jc w:val="both"/>
      </w:pPr>
      <w:r>
        <w:t xml:space="preserve">Se il budget non consente subito tutte le coperture, adotta questa sequenza: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Priorità 1</w:t>
      </w:r>
      <w:r>
        <w:t xml:space="preserve"> — Tech E&amp;O + Cyber (spesso disponibili come pacchetto integrato "Tech Combined").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Priorità 2</w:t>
      </w:r>
      <w:r>
        <w:t xml:space="preserve"> — Media Liability.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Priorità 3</w:t>
      </w:r>
      <w:r>
        <w:t xml:space="preserve"> — RC verso Terzi generale (spesso richiesta per contratti di sede/coworking).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Priorità 4</w:t>
      </w:r>
      <w:r>
        <w:t xml:space="preserve"> — D&amp;O (dopo la costituzione societaria).</w:t>
      </w:r>
    </w:p>
    <w:p>
      <w:pPr>
        <w:pStyle w:val="Heading1"/>
        <w:spacing w:after="120" w:before="300"/>
      </w:pPr>
      <w:r>
        <w:t xml:space="preserve">7. Costo indicativo</w:t>
      </w:r>
    </w:p>
    <w:p>
      <w:pPr>
        <w:spacing w:after="140" w:line="300"/>
        <w:jc w:val="both"/>
      </w:pPr>
      <w:r>
        <w:t xml:space="preserve">Per una startup SaaS/AI in fase pre-revenue o early revenue: </w:t>
      </w:r>
      <w:r>
        <w:rPr>
          <w:b/>
          <w:bCs/>
        </w:rPr>
        <w:t xml:space="preserve">Tech E&amp;O + Cyber pacchetto € 1M/1M</w:t>
      </w:r>
      <w:r>
        <w:t xml:space="preserve"> in Italia orientativamente </w:t>
      </w:r>
      <w:r>
        <w:rPr>
          <w:b/>
          <w:bCs/>
        </w:rPr>
        <w:t xml:space="preserve">€ 3.000 – 8.000/anno</w:t>
      </w:r>
      <w:r>
        <w:t xml:space="preserve"> a seconda di massimali, franchigie e mercati serviti. Il premio scende con l'evidenza di misure di sicurezza robuste (audit SOC2 dei provider, MFA, backup, incident response documentato).</w:t>
      </w:r>
    </w:p>
    <w:p>
      <w:pPr>
        <w:pStyle w:val="Heading1"/>
        <w:spacing w:after="120" w:before="300"/>
      </w:pPr>
      <w:r>
        <w:t xml:space="preserve">8. Documenti da preparare per il broker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business plan sintetico + numero utenti previsti/attuali;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mappa dei fornitori tecnologici (hosting, IA, pagamenti);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sintesi delle misure di sicurezza (v. DPA/Allegato Misure);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copia di Termini di Servizio, Privacy Policy, DPA, AUP;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copia di DPIA e Registro trattamenti;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eventuali fatturati/proiezioni.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2026-07-22T13:13:43.896Z</dcterms:created>
  <dcterms:modified xsi:type="dcterms:W3CDTF">2026-07-22T13:13:43.896Z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