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A6B8C"/>
          <w:sz w:val="22"/>
          <w:szCs w:val="22"/>
        </w:rPr>
        <w:t xml:space="preserve">TrainMind AI</w:t>
      </w:r>
    </w:p>
    <w:p>
      <w:pPr>
        <w:pStyle w:val="Title"/>
        <w:spacing w:after="100"/>
      </w:pPr>
      <w:r>
        <w:rPr>
          <w:b/>
          <w:bCs/>
        </w:rPr>
        <w:t xml:space="preserve">Registro delle attività di trattamento (art. 30 GDPR)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>Ultimo aggiornamento: 21 settembre 2026 · Versione 1.1</w:t>
      </w:r>
    </w:p>
    <w:p>
      <w:pPr>
        <w:pBdr>
          <w:bottom w:val="single" w:color="2E3A59" w:sz="6"/>
        </w:pBdr>
        <w:spacing w:after="260"/>
      </w:pPr>
    </w:p>
    <w:p>
      <w:pPr>
        <w:spacing w:after="140" w:line="300"/>
        <w:jc w:val="both"/>
      </w:pPr>
      <w:r>
        <w:t xml:space="preserve">Registro tenuto da </w:t>
      </w:r>
      <w:r>
        <w:rPr>
          <w:b/>
          <w:bCs/>
        </w:rPr>
        <w:t xml:space="preserve">[RAGIONE SOCIALE / NOME TITOLARE]</w:t>
      </w:r>
      <w:r>
        <w:t xml:space="preserve"> in qualità di </w:t>
      </w:r>
      <w:r>
        <w:rPr>
          <w:b/>
          <w:bCs/>
        </w:rPr>
        <w:t xml:space="preserve">Titolare del trattamento</w:t>
      </w:r>
      <w:r>
        <w:t xml:space="preserve">, ai sensi dell'art. 30, par. 1, del Regolamento (UE) 2016/679 ("GDPR"). Il registro è aggiornato al 21 luglio 2026 · Versione 1.0 e viene riesaminato almeno annualmente e in occasione di modifiche sostanziali.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Titolare</w:t>
      </w:r>
      <w:r>
        <w:t xml:space="preserve">: </w:t>
      </w:r>
      <w:r>
        <w:rPr>
          <w:b/>
          <w:bCs/>
        </w:rPr>
        <w:t xml:space="preserve">[RAGIONE SOCIALE / NOME TITOLARE]</w:t>
      </w:r>
      <w:r>
        <w:t xml:space="preserve"> — sede: </w:t>
      </w:r>
      <w:r>
        <w:rPr>
          <w:b/>
          <w:bCs/>
        </w:rPr>
        <w:t xml:space="preserve">[SEDE LEGALE]</w:t>
      </w:r>
      <w:r>
        <w:t xml:space="preserve"> — contatto: </w:t>
      </w:r>
      <w:r>
        <w:rPr>
          <w:b/>
          <w:bCs/>
        </w:rPr>
        <w:t xml:space="preserve">[EMAIL DI CONTATTO]</w:t>
      </w:r>
      <w:r>
        <w:t xml:space="preserve"> — privacy: </w:t>
      </w:r>
      <w:r>
        <w:rPr>
          <w:b/>
          <w:bCs/>
        </w:rPr>
        <w:t xml:space="preserve">[EMAIL PRIVACY]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DPO: </w:t>
      </w:r>
      <w:r>
        <w:rPr>
          <w:b/>
          <w:bCs/>
        </w:rPr>
        <w:t xml:space="preserve">[nominativo e recapiti se designato — v. documento "Valutazione obbligo DPO"]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Rappresentante nell'UE: N/A (titolare stabilito in UE)</w:t>
      </w:r>
    </w:p>
    <w:p>
      <w:pPr>
        <w:pStyle w:val="Heading1"/>
        <w:spacing w:after="120" w:before="300"/>
      </w:pPr>
      <w:r>
        <w:t xml:space="preserve">T1 · Gestione account utenti e prestazione del Servizio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00"/>
      </w:tblGrid>
      <w:tr>
        <w:trPr>
          <w:tblHeader/>
        </w:trPr>
        <w:tc>
          <w:tcPr>
            <w:tcW w:type="dxa" w:w="33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0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Creazione e gestione dell'account utente; autenticazione; erogazione della piattaforma TrainMind AI (pianificazione, monitoraggio, sincronizzazione dispositivi).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interessati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Utenti registrati (atleti, allenatori, staff società); rappresentanti legali di minori.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Dati identificativi (nome, cognome), email, hash password, data di nascita, ruolo, sport, lingua, informazioni di profilo, log di accesso, IP, user-agent.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6(1)(b) GDPR — esecuzione del contratto.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destinatari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>Provider hosting (IONOS); provider email transazionale; personale interno autorizzato.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Trasferimenti extra-SEE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Nessuno sistematico. Eventuali servizi US via DPF/SCC.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Durata dell'account; cancellazione o anonimizzazione entro 30 giorni dalla chiusura; log di sicurezza fino a 12 mesi; backup fino a 90 giorni.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Misure di sicurezza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>TLS 1.2+, hashing password (bcrypt/Argon2), RBAC, MFA per il personale, logging, backup cifrati, segregazione ambienti. Dal 21/09/2026 nome e cognome degli utenti staff sono conservati in una tabella distinta (user_identities) rispetto alle credenziali e ai dati operativi dell'account.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T2 · Dati sanitari e di fitness (art. 9 GDPR)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00"/>
      </w:tblGrid>
      <w:tr>
        <w:trPr>
          <w:tblHeader/>
        </w:trPr>
        <w:tc>
          <w:tcPr>
            <w:tcW w:type="dxa" w:w="33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0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Registrazione allenamenti, prestazioni, parametri corporei; generazione di piani e analisi mediante IA; monitoraggio wellness e infortuni.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interessati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Atleti utilizzatori del Servizio (maggiorenni e minorenni 14+ con consenso genitoriale).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Dati salute e fitness (categorie particolari): allenamenti, RPE, HR, peso, sonno, mood, infortuni, note antropometriche.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9(2)(a) GDPR — consenso esplicito. Consenso separato registrato in ConsentRecord con versione, lingua e IP.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destinatari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Provider hosting, provider di modelli IA (come responsabili ex art. 28), allenatore/staff scelto dall'atleta.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Trasferimenti extra-SEE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>Provider IA: DPF/SCC. Dal 21/09/2026 i dati sanitari elaborati dal fornitore del modello sono privi di dati identificativi diretti (v. T3).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Fino alla revoca del consenso o cancellazione account; poi cancellazione o anonimizzazione irreversibile.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Misure di sicurezza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>Separazione strutturale delle identità (misura di pseudonimizzazione ex art. 32(1)(a) GDPR), attiva dal 21/09/2026: nome, cognome, data di nascita, email e foto degli atleti sono conservati in una tabella distinta (athlete_identities); tutti i dati sanitari e di carico sono collegati al solo identificativo tecnico dell'atleta. Il ruolo di sola lettura usato per analisi e reportistica non ha alcun privilegio sulla tabella delle identità (assenza del privilegio SELECT verificata in produzione il 21/09/2026): chi interroga il database con quel ruolo vede i dati sanitari senza poterli ricondurre a una persona. Controlli di accesso più restrittivi; DPIA condotta (v. documento separato); logging degli accessi; backup cifrati. La cifratura a riposo a livello di singola colonna sulle cinque voci identificative è pianificata e non ancora attiva.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T3 · Elaborazione IA (prompt e output)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00"/>
      </w:tblGrid>
      <w:tr>
        <w:trPr>
          <w:tblHeader/>
        </w:trPr>
        <w:tc>
          <w:tcPr>
            <w:tcW w:type="dxa" w:w="33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0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Generazione di suggerimenti di allenamento e analisi tramite modelli di IA; sicurezza e miglioramento del Servizio.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interessati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Utenti registrati.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Prompt inviati all'IA (possono contenere dati identificativi e di salute), output, metadati tecnici, ID account.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6(1)(b) contratto per la funzionalità; Art. 9(2)(a) consenso esplicito ove trattati dati di salute.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destinatari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Provider IA come responsabili ex art. 28 GDPR (</w:t>
            </w:r>
            <w:r>
              <w:rPr>
                <w:b/>
                <w:bCs/>
                <w:sz w:val="19"/>
                <w:szCs w:val="19"/>
              </w:rPr>
              <w:t xml:space="preserve">[FORNITORE IA]</w:t>
            </w:r>
            <w:r>
              <w:rPr>
                <w:b w:val="false"/>
                <w:bCs w:val="false"/>
                <w:sz w:val="19"/>
                <w:szCs w:val="19"/>
              </w:rPr>
              <w:t xml:space="preserve">). Divieto contrattuale di uso per training del modello del terzo.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Trasferimenti extra-SEE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Eventuali provider US: DPF (se certificato) o SCC con TIA.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Durata account; comunque max 24 mesi per prompt/output nei nostri sistemi; presso il provider secondo il contratto (di norma ≤ 30 giorni).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Misure di sicurezza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>Pseudonimizzazione prima dell'invio, attiva dal 21/09/2026 su tutti i percorsi automatici verso i fornitori di modelli IA (assistente, coach e riassunto automatico dei report): il contenuto inviato è costruito dal Titolare e identifica ogni atleta con uno pseudonimo valido per la singola richiesta (A1, A2, ...); sono sostituiti anche il nome dell'atleta selezionato e quello dell'operatore che genera il report. La corrispondenza fra pseudonimo e persona non lascia l'infrastruttura del Titolare e viene ricostruita solo nella risposta mostrata all'utente. Resta esclusa dal meccanismo, per sua natura, la parte di testo che l'utente digita liberamente nella chat: la circostanza è dichiarata nell'informativa. Canali cifrati; log audit (che registrano il numero di pseudonimi emessi, mai i nomi); supervisione umana degli output.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T4 · Fatturazione e pagamenti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00"/>
      </w:tblGrid>
      <w:tr>
        <w:trPr>
          <w:tblHeader/>
        </w:trPr>
        <w:tc>
          <w:tcPr>
            <w:tcW w:type="dxa" w:w="33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0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Gestione abbonamenti, incassi, fatturazione elettronica.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interessati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Utenti paganti (persone fisiche o rappresentanti di persone giuridiche).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Piano, storico transazioni, ultimi 4 cifre carta, indirizzo di fatturazione, P.IVA/CF.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6(1)(b) contratto; Art. 6(1)(c) obblighi fiscali (D.P.R. 633/1972, D.lgs. 127/2015 e s.m.i.).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destinatari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Stripe (responsabile); consulente contabile; SdI/Agenzia delle Entrate.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Trasferimenti extra-SEE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Stripe: DPF/SCC.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anni (art. 2220 c.c. e obblighi fiscali).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Misure di sicurezza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Nessuna memorizzazione di PAN completo; tokenizzazione tramite Stripe; accessi limitati al personale amministrativo.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T5 · Comunicazioni di marketing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00"/>
      </w:tblGrid>
      <w:tr>
        <w:trPr>
          <w:tblHeader/>
        </w:trPr>
        <w:tc>
          <w:tcPr>
            <w:tcW w:type="dxa" w:w="33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0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Newsletter, aggiornamenti prodotto, offerte promozionali, sondaggi.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interessati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Utenti che hanno prestato consenso specifico.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Nome, email, preferenze, tracciamento apertura/click.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6(1)(a) — consenso.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destinatari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Provider email marketing come responsabile.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Fino a revoca del consenso o inattività 24 mesi.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Misure di sicurezza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Link di disiscrizione in ogni email; centro preferenze; log consenso e revoca.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T6 · Sicurezza e log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00"/>
      </w:tblGrid>
      <w:tr>
        <w:trPr>
          <w:tblHeader/>
        </w:trPr>
        <w:tc>
          <w:tcPr>
            <w:tcW w:type="dxa" w:w="33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0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Prevenzione frodi/abusi; monitoraggio sicurezza; resilienza; difesa in giudizio.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interessati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Utenti; visitatori del sito.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IP, user-agent, timestamp, eventi di sicurezza, tentativi di login falliti.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6(1)(f) — legittimo interesse alla sicurezza e continuità del Servizio (LIA effettuata).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 12 mesi (rotazione).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Misure di sicurezza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Accesso limitato al personale sicurezza; log immutabili; alerting automatizzato.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T7 · Richieste degli interessati e adempimenti privacy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00"/>
      </w:tblGrid>
      <w:tr>
        <w:trPr>
          <w:tblHeader/>
        </w:trPr>
        <w:tc>
          <w:tcPr>
            <w:tcW w:type="dxa" w:w="33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0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Gestione delle richieste di esercizio dei diritti (artt. 15–22 GDPR); notifiche di data breach; adempimenti verso il Garante.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 di dati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Dati necessari all'identificazione dell'interessato e al riscontro della richiesta.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Art. 6(1)(c) obbligo legale; Art. 9(2)(f) esercizio/difesa di diritti in sede giudiziaria ove pertinente.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Fascicolo pratica per 5 anni salvo contenzioso.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Revisioni</w:t>
      </w:r>
    </w:p>
    <w:p>
      <w:pPr>
        <w:spacing w:after="140" w:line="300"/>
        <w:jc w:val="both"/>
      </w:pPr>
      <w:r>
        <w:t>Il presente Registro è approvato dal Titolare in data [DATA]. Prossima revisione programmata: entro 12 mesi. Le modifiche sono tracciate nel changelog interno.</w:t>
      </w:r>
    </w:p>
    <w:p>
      <w:pPr>
        <w:spacing w:after="140" w:line="300"/>
        <w:jc w:val="both"/>
      </w:pPr>
      <w:r>
        <w:t>Versione 1.1 — 21 settembre 2026. Aggiornate le misure di sicurezza di T1, T2 e T3 e i trasferimenti di T2 a seguito dell'introduzione in produzione della separazione strutturale delle identità e della de-identificazione dei prompt IA su tutti i percorsi automatici. Corretto il nominativo del provider hosting in T1 (IONOS).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3A5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D4E73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2026-07-22T13:13:43.469Z</dcterms:created>
  <dcterms:modified xsi:type="dcterms:W3CDTF">2026-07-22T13:13:43.490Z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