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Informativa Privacy (GDPR)</w:t>
      </w:r>
    </w:p>
    <w:p>
      <w:pPr>
        <w:spacing w:after="60"/>
      </w:pPr>
      <w:r>
        <w:rPr>
          <w:i/>
          <w:iCs/>
          <w:color w:val="666666"/>
          <w:sz w:val="20"/>
          <w:szCs w:val="20"/>
        </w:rPr>
        <w:t xml:space="preserve">Ultimo aggiornamento: 21 luglio 2026 · Versione 2.0</w:t>
      </w:r>
    </w:p>
    <w:p>
      <w:pPr>
        <w:pBdr>
          <w:bottom w:val="single" w:color="2E3A59" w:sz="6"/>
        </w:pBdr>
        <w:spacing w:after="260"/>
      </w:pPr>
    </w:p>
    <w:p>
      <w:pPr>
        <w:pStyle w:val="Heading2"/>
        <w:spacing w:after="100" w:before="220"/>
      </w:pPr>
      <w:r>
        <w:t xml:space="preserve">In breve (non sostituisce il testo integrale)</w:t>
      </w:r>
    </w:p>
    <w:p>
      <w:pPr>
        <w:pStyle w:val="ListParagraph"/>
        <w:numPr>
          <w:ilvl w:val="0"/>
          <w:numId w:val="2"/>
        </w:numPr>
        <w:spacing w:after="80" w:line="300"/>
      </w:pPr>
      <w:r>
        <w:t xml:space="preserve">Trattiamo i tuoi dati per farti usare TrainMind AI: account, allenamenti, analisi IA, pagamenti, sicurezza.</w:t>
      </w:r>
    </w:p>
    <w:p>
      <w:pPr>
        <w:pStyle w:val="ListParagraph"/>
        <w:numPr>
          <w:ilvl w:val="0"/>
          <w:numId w:val="2"/>
        </w:numPr>
        <w:spacing w:after="80" w:line="300"/>
      </w:pPr>
      <w:r>
        <w:t xml:space="preserve">I dati di salute e fitness sono trattati </w:t>
      </w:r>
      <w:r>
        <w:rPr>
          <w:b/>
          <w:bCs/>
        </w:rPr>
        <w:t xml:space="preserve">solo con il tuo consenso esplicito</w:t>
      </w:r>
      <w:r>
        <w:t xml:space="preserve"> e puoi revocarlo in ogni momento.</w:t>
      </w:r>
    </w:p>
    <w:p>
      <w:pPr>
        <w:pStyle w:val="ListParagraph"/>
        <w:numPr>
          <w:ilvl w:val="0"/>
          <w:numId w:val="2"/>
        </w:numPr>
        <w:spacing w:after="80" w:line="300"/>
      </w:pPr>
      <w:r>
        <w:t xml:space="preserve">Alcuni fornitori (es. hosting, IA) possono avere sede fuori dall'UE: usiamo garanzie di legge (adeguatezza o SCC).</w:t>
      </w:r>
    </w:p>
    <w:p>
      <w:pPr>
        <w:pStyle w:val="ListParagraph"/>
        <w:numPr>
          <w:ilvl w:val="0"/>
          <w:numId w:val="2"/>
        </w:numPr>
        <w:spacing w:after="80" w:line="300"/>
      </w:pPr>
      <w:r>
        <w:t xml:space="preserve">Puoi accedere, rettificare, cancellare, esportare i tuoi dati e proporre reclamo al Garante.</w:t>
      </w:r>
    </w:p>
    <w:p>
      <w:pPr>
        <w:pStyle w:val="ListParagraph"/>
        <w:numPr>
          <w:ilvl w:val="0"/>
          <w:numId w:val="2"/>
        </w:numPr>
        <w:spacing w:after="80" w:line="300"/>
      </w:pPr>
      <w:r>
        <w:t xml:space="preserve">Non vendiamo i tuoi dati e </w:t>
      </w:r>
      <w:r>
        <w:rPr>
          <w:b/>
          <w:bCs/>
        </w:rPr>
        <w:t xml:space="preserve">non li usiamo per addestrare modelli di IA di terzi</w:t>
      </w:r>
      <w:r>
        <w:t xml:space="preserve">.</w:t>
      </w:r>
    </w:p>
    <w:p>
      <w:pPr>
        <w:spacing w:after="140" w:line="300"/>
        <w:jc w:val="both"/>
      </w:pPr>
      <w:r>
        <w:t xml:space="preserve">La presente Informativa descrive come </w:t>
      </w:r>
      <w:r>
        <w:rPr>
          <w:b/>
          <w:bCs/>
        </w:rPr>
        <w:t xml:space="preserve">[RAGIONE SOCIALE / NOME TITOLARE]</w:t>
      </w:r>
      <w:r>
        <w:t xml:space="preserve">, con sede legale in </w:t>
      </w:r>
      <w:r>
        <w:rPr>
          <w:b/>
          <w:bCs/>
        </w:rPr>
        <w:t xml:space="preserve">[SEDE LEGALE]</w:t>
      </w:r>
      <w:r>
        <w:t xml:space="preserve"> (il "</w:t>
      </w:r>
      <w:r>
        <w:rPr>
          <w:b/>
          <w:bCs/>
        </w:rPr>
        <w:t xml:space="preserve">Titolare</w:t>
      </w:r>
      <w:r>
        <w:t xml:space="preserve">"), tratta i dati personali degli utenti della piattaforma TrainMind AI (il "</w:t>
      </w:r>
      <w:r>
        <w:rPr>
          <w:b/>
          <w:bCs/>
        </w:rPr>
        <w:t xml:space="preserve">Servizio</w:t>
      </w:r>
      <w:r>
        <w:t xml:space="preserve">"), ai sensi del Regolamento (UE) 2016/679 ("</w:t>
      </w:r>
      <w:r>
        <w:rPr>
          <w:b/>
          <w:bCs/>
        </w:rPr>
        <w:t xml:space="preserve">GDPR</w:t>
      </w:r>
      <w:r>
        <w:t xml:space="preserve">") e del D.lgs. 196/2003 e s.m.i. ("Codice Privacy"). Contatto privacy: </w:t>
      </w:r>
      <w:r>
        <w:rPr>
          <w:b/>
          <w:bCs/>
        </w:rPr>
        <w:t xml:space="preserve">[EMAIL PRIVACY]</w:t>
      </w:r>
      <w:r>
        <w:t xml:space="preserve">. DPO: </w:t>
      </w:r>
      <w:r>
        <w:rPr>
          <w:b/>
          <w:bCs/>
        </w:rPr>
        <w:t xml:space="preserve">[EMAIL DPO se nominato]</w:t>
      </w:r>
      <w:r>
        <w:t xml:space="preserve">.</w:t>
      </w:r>
    </w:p>
    <w:p>
      <w:pPr>
        <w:spacing w:after="140" w:line="300"/>
        <w:jc w:val="both"/>
      </w:pPr>
      <w:r>
        <w:t xml:space="preserve">La versione italiana è la </w:t>
      </w:r>
      <w:r>
        <w:rPr>
          <w:b/>
          <w:bCs/>
        </w:rPr>
        <w:t xml:space="preserve">versione ufficiale</w:t>
      </w:r>
      <w:r>
        <w:t xml:space="preserve"> e prevale su qualsiasi traduzione in caso di discrepanza.</w:t>
      </w:r>
    </w:p>
    <w:p>
      <w:pPr>
        <w:pStyle w:val="Heading1"/>
        <w:spacing w:after="120" w:before="300"/>
      </w:pPr>
      <w:r>
        <w:t xml:space="preserve">1. Dati trattati</w:t>
      </w:r>
    </w:p>
    <w:p>
      <w:pPr>
        <w:pStyle w:val="ListParagraph"/>
        <w:numPr>
          <w:ilvl w:val="0"/>
          <w:numId w:val="2"/>
        </w:numPr>
        <w:spacing w:after="80" w:line="300"/>
      </w:pPr>
      <w:r>
        <w:t xml:space="preserve"/>
      </w:r>
      <w:r>
        <w:rPr>
          <w:b/>
          <w:bCs/>
        </w:rPr>
        <w:t xml:space="preserve">Dati di account</w:t>
      </w:r>
      <w:r>
        <w:t xml:space="preserve">: nome, indirizzo email, password (cifrata con hashing), data di nascita, ruolo (atleta/allenatore), sport, lingua preferita, informazioni di profilo.</w:t>
      </w:r>
    </w:p>
    <w:p>
      <w:pPr>
        <w:pStyle w:val="ListParagraph"/>
        <w:numPr>
          <w:ilvl w:val="0"/>
          <w:numId w:val="2"/>
        </w:numPr>
        <w:spacing w:after="80" w:line="300"/>
      </w:pPr>
      <w:r>
        <w:t xml:space="preserve"/>
      </w:r>
      <w:r>
        <w:rPr>
          <w:b/>
          <w:bCs/>
        </w:rPr>
        <w:t xml:space="preserve">Dati relativi alla salute e al fitness</w:t>
      </w:r>
      <w:r>
        <w:t xml:space="preserve"> (categorie particolari, art. 9 GDPR): sessioni di allenamento, carichi, prestazioni, parametri corporei (es. peso, frequenza cardiaca ove forniti da wearable), sforzo percepito (RPE), qualità del sonno, mood/wellness, infortuni o limitazioni fisiche che scegli di registrare, note antropometriche.</w:t>
      </w:r>
    </w:p>
    <w:p>
      <w:pPr>
        <w:pStyle w:val="ListParagraph"/>
        <w:numPr>
          <w:ilvl w:val="0"/>
          <w:numId w:val="2"/>
        </w:numPr>
        <w:spacing w:after="80" w:line="300"/>
      </w:pPr>
      <w:r>
        <w:t xml:space="preserve"/>
      </w:r>
      <w:r>
        <w:rPr>
          <w:b/>
          <w:bCs/>
        </w:rPr>
        <w:t xml:space="preserve">Dati di pagamento</w:t>
      </w:r>
      <w:r>
        <w:t xml:space="preserve">: piano di abbonamento, storico transazioni, ultime 4 cifre della carta, indirizzo di fatturazione. I dati completi della carta sono trattati direttamente dal fornitore di pagamento (Stripe) e non sono mai conservati da noi.</w:t>
      </w:r>
    </w:p>
    <w:p>
      <w:pPr>
        <w:pStyle w:val="ListParagraph"/>
        <w:numPr>
          <w:ilvl w:val="0"/>
          <w:numId w:val="2"/>
        </w:numPr>
        <w:spacing w:after="80" w:line="300"/>
      </w:pPr>
      <w:r>
        <w:t xml:space="preserve"/>
      </w:r>
      <w:r>
        <w:rPr>
          <w:b/>
          <w:bCs/>
        </w:rPr>
        <w:t xml:space="preserve">Dati di utilizzo e del dispositivo</w:t>
      </w:r>
      <w:r>
        <w:t xml:space="preserve">: log, indirizzo IP, tipo di dispositivo/browser, sistema operativo, interazioni con l'app, cookie e tecnologie simili (v. Cookie Policy).</w:t>
      </w:r>
    </w:p>
    <w:p>
      <w:pPr>
        <w:pStyle w:val="ListParagraph"/>
        <w:numPr>
          <w:ilvl w:val="0"/>
          <w:numId w:val="2"/>
        </w:numPr>
        <w:spacing w:after="80" w:line="300"/>
      </w:pPr>
      <w:r>
        <w:t xml:space="preserve"/>
      </w:r>
      <w:r>
        <w:rPr>
          <w:b/>
          <w:bCs/>
        </w:rPr>
        <w:t xml:space="preserve">Comunicazioni</w:t>
      </w:r>
      <w:r>
        <w:t xml:space="preserve">: richieste di assistenza, corrispondenza, feedback.</w:t>
      </w:r>
    </w:p>
    <w:p>
      <w:pPr>
        <w:pStyle w:val="ListParagraph"/>
        <w:numPr>
          <w:ilvl w:val="0"/>
          <w:numId w:val="2"/>
        </w:numPr>
        <w:spacing w:after="80" w:line="300"/>
      </w:pPr>
      <w:r>
        <w:t xml:space="preserve"/>
      </w:r>
      <w:r>
        <w:rPr>
          <w:b/>
          <w:bCs/>
        </w:rPr>
        <w:t xml:space="preserve">Contenuti IA</w:t>
      </w:r>
      <w:r>
        <w:t xml:space="preserve">: prompt inviati all'assistente IA e output ricevuti, con collegamento al tuo account.</w:t>
      </w:r>
    </w:p>
    <w:p>
      <w:pPr>
        <w:pStyle w:val="Heading1"/>
        <w:spacing w:after="120" w:before="300"/>
      </w:pPr>
      <w:r>
        <w:t xml:space="preserve">2. Finalità e basi giuridiche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shd w:fill="E8EAF0" w:val="clear"/>
            <w:tcMar>
              <w:top w:type="dxa" w:w="80"/>
              <w:left w:type="dxa" w:w="120"/>
              <w:bottom w:type="dxa" w:w="80"/>
              <w:right w:type="dxa" w:w="120"/>
            </w:tcMar>
          </w:tcPr>
          <w:p>
            <w:pPr>
              <w:spacing w:line="260"/>
            </w:pPr>
            <w:r>
              <w:rPr>
                <w:b/>
                <w:bCs/>
                <w:sz w:val="19"/>
                <w:szCs w:val="19"/>
              </w:rPr>
              <w:t xml:space="preserve">Finalità</w:t>
            </w:r>
          </w:p>
        </w:tc>
        <w:tc>
          <w:tcPr>
            <w:tcW w:type="dxa" w:w="3300"/>
            <w:shd w:fill="E8EAF0" w:val="clear"/>
            <w:tcMar>
              <w:top w:type="dxa" w:w="80"/>
              <w:left w:type="dxa" w:w="120"/>
              <w:bottom w:type="dxa" w:w="80"/>
              <w:right w:type="dxa" w:w="120"/>
            </w:tcMar>
          </w:tcPr>
          <w:p>
            <w:pPr>
              <w:spacing w:line="260"/>
            </w:pPr>
            <w:r>
              <w:rPr>
                <w:b/>
                <w:bCs/>
                <w:sz w:val="19"/>
                <w:szCs w:val="19"/>
              </w:rPr>
              <w:t xml:space="preserve">Dati</w:t>
            </w:r>
          </w:p>
        </w:tc>
        <w:tc>
          <w:tcPr>
            <w:tcW w:type="dxa" w:w="2700"/>
            <w:shd w:fill="E8EAF0" w:val="clear"/>
            <w:tcMar>
              <w:top w:type="dxa" w:w="80"/>
              <w:left w:type="dxa" w:w="120"/>
              <w:bottom w:type="dxa" w:w="80"/>
              <w:right w:type="dxa" w:w="120"/>
            </w:tcMar>
          </w:tcPr>
          <w:p>
            <w:pPr>
              <w:spacing w:line="260"/>
            </w:pPr>
            <w:r>
              <w:rPr>
                <w:b/>
                <w:bCs/>
                <w:sz w:val="19"/>
                <w:szCs w:val="19"/>
              </w:rPr>
              <w:t xml:space="preserve">Base giuridica (GDPR)</w:t>
            </w:r>
          </w:p>
        </w:tc>
      </w:tr>
      <w:tr>
        <w:tc>
          <w:tcPr>
            <w:tcW w:type="dxa" w:w="3300"/>
            <w:tcMar>
              <w:top w:type="dxa" w:w="80"/>
              <w:left w:type="dxa" w:w="120"/>
              <w:bottom w:type="dxa" w:w="80"/>
              <w:right w:type="dxa" w:w="120"/>
            </w:tcMar>
          </w:tcPr>
          <w:p>
            <w:pPr>
              <w:spacing w:line="260"/>
            </w:pPr>
            <w:r>
              <w:rPr>
                <w:b w:val="false"/>
                <w:bCs w:val="false"/>
                <w:sz w:val="19"/>
                <w:szCs w:val="19"/>
              </w:rPr>
              <w:t xml:space="preserve">Erogazione del Servizio: account, piani di allenamento, monitoraggio, sincronizzazione, chat IA</w:t>
            </w:r>
          </w:p>
        </w:tc>
        <w:tc>
          <w:tcPr>
            <w:tcW w:type="dxa" w:w="3300"/>
            <w:tcMar>
              <w:top w:type="dxa" w:w="80"/>
              <w:left w:type="dxa" w:w="120"/>
              <w:bottom w:type="dxa" w:w="80"/>
              <w:right w:type="dxa" w:w="120"/>
            </w:tcMar>
          </w:tcPr>
          <w:p>
            <w:pPr>
              <w:spacing w:line="260"/>
            </w:pPr>
            <w:r>
              <w:rPr>
                <w:b w:val="false"/>
                <w:bCs w:val="false"/>
                <w:sz w:val="19"/>
                <w:szCs w:val="19"/>
              </w:rPr>
              <w:t xml:space="preserve">Dati di account e utilizzo, contenuti IA</w:t>
            </w:r>
          </w:p>
        </w:tc>
        <w:tc>
          <w:tcPr>
            <w:tcW w:type="dxa" w:w="2700"/>
            <w:tcMar>
              <w:top w:type="dxa" w:w="80"/>
              <w:left w:type="dxa" w:w="120"/>
              <w:bottom w:type="dxa" w:w="80"/>
              <w:right w:type="dxa" w:w="120"/>
            </w:tcMar>
          </w:tcPr>
          <w:p>
            <w:pPr>
              <w:spacing w:line="260"/>
            </w:pPr>
            <w:r>
              <w:rPr>
                <w:b w:val="false"/>
                <w:bCs w:val="false"/>
                <w:sz w:val="19"/>
                <w:szCs w:val="19"/>
              </w:rPr>
              <w:t xml:space="preserve">Art. 6(1)(b) — contratto</w:t>
            </w:r>
          </w:p>
        </w:tc>
      </w:tr>
      <w:tr>
        <w:tc>
          <w:tcPr>
            <w:tcW w:type="dxa" w:w="3300"/>
            <w:tcMar>
              <w:top w:type="dxa" w:w="80"/>
              <w:left w:type="dxa" w:w="120"/>
              <w:bottom w:type="dxa" w:w="80"/>
              <w:right w:type="dxa" w:w="120"/>
            </w:tcMar>
          </w:tcPr>
          <w:p>
            <w:pPr>
              <w:spacing w:line="260"/>
            </w:pPr>
            <w:r>
              <w:rPr>
                <w:b w:val="false"/>
                <w:bCs w:val="false"/>
                <w:sz w:val="19"/>
                <w:szCs w:val="19"/>
              </w:rPr>
              <w:t xml:space="preserve">Suggerimenti di allenamento basati su IA e analisi delle prestazioni con dati di salute/fitness</w:t>
            </w:r>
          </w:p>
        </w:tc>
        <w:tc>
          <w:tcPr>
            <w:tcW w:type="dxa" w:w="3300"/>
            <w:tcMar>
              <w:top w:type="dxa" w:w="80"/>
              <w:left w:type="dxa" w:w="120"/>
              <w:bottom w:type="dxa" w:w="80"/>
              <w:right w:type="dxa" w:w="120"/>
            </w:tcMar>
          </w:tcPr>
          <w:p>
            <w:pPr>
              <w:spacing w:line="260"/>
            </w:pPr>
            <w:r>
              <w:rPr>
                <w:b w:val="false"/>
                <w:bCs w:val="false"/>
                <w:sz w:val="19"/>
                <w:szCs w:val="19"/>
              </w:rPr>
              <w:t xml:space="preserve">Dati salute e fitness</w:t>
            </w:r>
          </w:p>
        </w:tc>
        <w:tc>
          <w:tcPr>
            <w:tcW w:type="dxa" w:w="2700"/>
            <w:tcMar>
              <w:top w:type="dxa" w:w="80"/>
              <w:left w:type="dxa" w:w="120"/>
              <w:bottom w:type="dxa" w:w="80"/>
              <w:right w:type="dxa" w:w="120"/>
            </w:tcMar>
          </w:tcPr>
          <w:p>
            <w:pPr>
              <w:spacing w:line="260"/>
            </w:pPr>
            <w:r>
              <w:rPr>
                <w:b w:val="false"/>
                <w:bCs w:val="false"/>
                <w:sz w:val="19"/>
                <w:szCs w:val="19"/>
              </w:rPr>
              <w:t xml:space="preserve">Art. 9(2)(a) — consenso esplicito</w:t>
            </w:r>
          </w:p>
        </w:tc>
      </w:tr>
      <w:tr>
        <w:tc>
          <w:tcPr>
            <w:tcW w:type="dxa" w:w="3300"/>
            <w:tcMar>
              <w:top w:type="dxa" w:w="80"/>
              <w:left w:type="dxa" w:w="120"/>
              <w:bottom w:type="dxa" w:w="80"/>
              <w:right w:type="dxa" w:w="120"/>
            </w:tcMar>
          </w:tcPr>
          <w:p>
            <w:pPr>
              <w:spacing w:line="260"/>
            </w:pPr>
            <w:r>
              <w:rPr>
                <w:b w:val="false"/>
                <w:bCs w:val="false"/>
                <w:sz w:val="19"/>
                <w:szCs w:val="19"/>
              </w:rPr>
              <w:t xml:space="preserve">Fatturazione e gestione abbonamenti</w:t>
            </w:r>
          </w:p>
        </w:tc>
        <w:tc>
          <w:tcPr>
            <w:tcW w:type="dxa" w:w="3300"/>
            <w:tcMar>
              <w:top w:type="dxa" w:w="80"/>
              <w:left w:type="dxa" w:w="120"/>
              <w:bottom w:type="dxa" w:w="80"/>
              <w:right w:type="dxa" w:w="120"/>
            </w:tcMar>
          </w:tcPr>
          <w:p>
            <w:pPr>
              <w:spacing w:line="260"/>
            </w:pPr>
            <w:r>
              <w:rPr>
                <w:b w:val="false"/>
                <w:bCs w:val="false"/>
                <w:sz w:val="19"/>
                <w:szCs w:val="19"/>
              </w:rPr>
              <w:t xml:space="preserve">Dati di account e pagamento</w:t>
            </w:r>
          </w:p>
        </w:tc>
        <w:tc>
          <w:tcPr>
            <w:tcW w:type="dxa" w:w="2700"/>
            <w:tcMar>
              <w:top w:type="dxa" w:w="80"/>
              <w:left w:type="dxa" w:w="120"/>
              <w:bottom w:type="dxa" w:w="80"/>
              <w:right w:type="dxa" w:w="120"/>
            </w:tcMar>
          </w:tcPr>
          <w:p>
            <w:pPr>
              <w:spacing w:line="260"/>
            </w:pPr>
            <w:r>
              <w:rPr>
                <w:b w:val="false"/>
                <w:bCs w:val="false"/>
                <w:sz w:val="19"/>
                <w:szCs w:val="19"/>
              </w:rPr>
              <w:t xml:space="preserve">Art. 6(1)(b) contratto; art. 6(1)(c) obblighi di legge</w:t>
            </w:r>
          </w:p>
        </w:tc>
      </w:tr>
      <w:tr>
        <w:tc>
          <w:tcPr>
            <w:tcW w:type="dxa" w:w="3300"/>
            <w:tcMar>
              <w:top w:type="dxa" w:w="80"/>
              <w:left w:type="dxa" w:w="120"/>
              <w:bottom w:type="dxa" w:w="80"/>
              <w:right w:type="dxa" w:w="120"/>
            </w:tcMar>
          </w:tcPr>
          <w:p>
            <w:pPr>
              <w:spacing w:line="260"/>
            </w:pPr>
            <w:r>
              <w:rPr>
                <w:b w:val="false"/>
                <w:bCs w:val="false"/>
                <w:sz w:val="19"/>
                <w:szCs w:val="19"/>
              </w:rPr>
              <w:t xml:space="preserve">Sicurezza del Servizio, prevenzione frodi e abusi, resilienza</w:t>
            </w:r>
          </w:p>
        </w:tc>
        <w:tc>
          <w:tcPr>
            <w:tcW w:type="dxa" w:w="3300"/>
            <w:tcMar>
              <w:top w:type="dxa" w:w="80"/>
              <w:left w:type="dxa" w:w="120"/>
              <w:bottom w:type="dxa" w:w="80"/>
              <w:right w:type="dxa" w:w="120"/>
            </w:tcMar>
          </w:tcPr>
          <w:p>
            <w:pPr>
              <w:spacing w:line="260"/>
            </w:pPr>
            <w:r>
              <w:rPr>
                <w:b w:val="false"/>
                <w:bCs w:val="false"/>
                <w:sz w:val="19"/>
                <w:szCs w:val="19"/>
              </w:rPr>
              <w:t xml:space="preserve">Dati di utilizzo e dispositivo</w:t>
            </w:r>
          </w:p>
        </w:tc>
        <w:tc>
          <w:tcPr>
            <w:tcW w:type="dxa" w:w="2700"/>
            <w:tcMar>
              <w:top w:type="dxa" w:w="80"/>
              <w:left w:type="dxa" w:w="120"/>
              <w:bottom w:type="dxa" w:w="80"/>
              <w:right w:type="dxa" w:w="120"/>
            </w:tcMar>
          </w:tcPr>
          <w:p>
            <w:pPr>
              <w:spacing w:line="260"/>
            </w:pPr>
            <w:r>
              <w:rPr>
                <w:b w:val="false"/>
                <w:bCs w:val="false"/>
                <w:sz w:val="19"/>
                <w:szCs w:val="19"/>
              </w:rPr>
              <w:t xml:space="preserve">Art. 6(1)(f) — legittimo interesse</w:t>
            </w:r>
          </w:p>
        </w:tc>
      </w:tr>
      <w:tr>
        <w:tc>
          <w:tcPr>
            <w:tcW w:type="dxa" w:w="3300"/>
            <w:tcMar>
              <w:top w:type="dxa" w:w="80"/>
              <w:left w:type="dxa" w:w="120"/>
              <w:bottom w:type="dxa" w:w="80"/>
              <w:right w:type="dxa" w:w="120"/>
            </w:tcMar>
          </w:tcPr>
          <w:p>
            <w:pPr>
              <w:spacing w:line="260"/>
            </w:pPr>
            <w:r>
              <w:rPr>
                <w:b w:val="false"/>
                <w:bCs w:val="false"/>
                <w:sz w:val="19"/>
                <w:szCs w:val="19"/>
              </w:rPr>
              <w:t xml:space="preserve">Miglioramento del prodotto e statistiche aggregate</w:t>
            </w:r>
          </w:p>
        </w:tc>
        <w:tc>
          <w:tcPr>
            <w:tcW w:type="dxa" w:w="3300"/>
            <w:tcMar>
              <w:top w:type="dxa" w:w="80"/>
              <w:left w:type="dxa" w:w="120"/>
              <w:bottom w:type="dxa" w:w="80"/>
              <w:right w:type="dxa" w:w="120"/>
            </w:tcMar>
          </w:tcPr>
          <w:p>
            <w:pPr>
              <w:spacing w:line="260"/>
            </w:pPr>
            <w:r>
              <w:rPr>
                <w:b w:val="false"/>
                <w:bCs w:val="false"/>
                <w:sz w:val="19"/>
                <w:szCs w:val="19"/>
              </w:rPr>
              <w:t xml:space="preserve">Dati di utilizzo (aggregati/pseudonimizzati)</w:t>
            </w:r>
          </w:p>
        </w:tc>
        <w:tc>
          <w:tcPr>
            <w:tcW w:type="dxa" w:w="2700"/>
            <w:tcMar>
              <w:top w:type="dxa" w:w="80"/>
              <w:left w:type="dxa" w:w="120"/>
              <w:bottom w:type="dxa" w:w="80"/>
              <w:right w:type="dxa" w:w="120"/>
            </w:tcMar>
          </w:tcPr>
          <w:p>
            <w:pPr>
              <w:spacing w:line="260"/>
            </w:pPr>
            <w:r>
              <w:rPr>
                <w:b w:val="false"/>
                <w:bCs w:val="false"/>
                <w:sz w:val="19"/>
                <w:szCs w:val="19"/>
              </w:rPr>
              <w:t xml:space="preserve">Art. 6(1)(f) — legittimo interesse</w:t>
            </w:r>
          </w:p>
        </w:tc>
      </w:tr>
      <w:tr>
        <w:tc>
          <w:tcPr>
            <w:tcW w:type="dxa" w:w="3300"/>
            <w:tcMar>
              <w:top w:type="dxa" w:w="80"/>
              <w:left w:type="dxa" w:w="120"/>
              <w:bottom w:type="dxa" w:w="80"/>
              <w:right w:type="dxa" w:w="120"/>
            </w:tcMar>
          </w:tcPr>
          <w:p>
            <w:pPr>
              <w:spacing w:line="260"/>
            </w:pPr>
            <w:r>
              <w:rPr>
                <w:b w:val="false"/>
                <w:bCs w:val="false"/>
                <w:sz w:val="19"/>
                <w:szCs w:val="19"/>
              </w:rPr>
              <w:t xml:space="preserve">Comunicazioni di servizio (transazionali) e notifiche in-app essenziali</w:t>
            </w:r>
          </w:p>
        </w:tc>
        <w:tc>
          <w:tcPr>
            <w:tcW w:type="dxa" w:w="3300"/>
            <w:tcMar>
              <w:top w:type="dxa" w:w="80"/>
              <w:left w:type="dxa" w:w="120"/>
              <w:bottom w:type="dxa" w:w="80"/>
              <w:right w:type="dxa" w:w="120"/>
            </w:tcMar>
          </w:tcPr>
          <w:p>
            <w:pPr>
              <w:spacing w:line="260"/>
            </w:pPr>
            <w:r>
              <w:rPr>
                <w:b w:val="false"/>
                <w:bCs w:val="false"/>
                <w:sz w:val="19"/>
                <w:szCs w:val="19"/>
              </w:rPr>
              <w:t xml:space="preserve">Email, dati di account</w:t>
            </w:r>
          </w:p>
        </w:tc>
        <w:tc>
          <w:tcPr>
            <w:tcW w:type="dxa" w:w="2700"/>
            <w:tcMar>
              <w:top w:type="dxa" w:w="80"/>
              <w:left w:type="dxa" w:w="120"/>
              <w:bottom w:type="dxa" w:w="80"/>
              <w:right w:type="dxa" w:w="120"/>
            </w:tcMar>
          </w:tcPr>
          <w:p>
            <w:pPr>
              <w:spacing w:line="260"/>
            </w:pPr>
            <w:r>
              <w:rPr>
                <w:b w:val="false"/>
                <w:bCs w:val="false"/>
                <w:sz w:val="19"/>
                <w:szCs w:val="19"/>
              </w:rPr>
              <w:t xml:space="preserve">Art. 6(1)(b) — contratto</w:t>
            </w:r>
          </w:p>
        </w:tc>
      </w:tr>
      <w:tr>
        <w:tc>
          <w:tcPr>
            <w:tcW w:type="dxa" w:w="3300"/>
            <w:tcMar>
              <w:top w:type="dxa" w:w="80"/>
              <w:left w:type="dxa" w:w="120"/>
              <w:bottom w:type="dxa" w:w="80"/>
              <w:right w:type="dxa" w:w="120"/>
            </w:tcMar>
          </w:tcPr>
          <w:p>
            <w:pPr>
              <w:spacing w:line="260"/>
            </w:pPr>
            <w:r>
              <w:rPr>
                <w:b w:val="false"/>
                <w:bCs w:val="false"/>
                <w:sz w:val="19"/>
                <w:szCs w:val="19"/>
              </w:rPr>
              <w:t xml:space="preserve">Comunicazioni di marketing (newsletter, offerte, sondaggi)</w:t>
            </w:r>
          </w:p>
        </w:tc>
        <w:tc>
          <w:tcPr>
            <w:tcW w:type="dxa" w:w="3300"/>
            <w:tcMar>
              <w:top w:type="dxa" w:w="80"/>
              <w:left w:type="dxa" w:w="120"/>
              <w:bottom w:type="dxa" w:w="80"/>
              <w:right w:type="dxa" w:w="120"/>
            </w:tcMar>
          </w:tcPr>
          <w:p>
            <w:pPr>
              <w:spacing w:line="260"/>
            </w:pPr>
            <w:r>
              <w:rPr>
                <w:b w:val="false"/>
                <w:bCs w:val="false"/>
                <w:sz w:val="19"/>
                <w:szCs w:val="19"/>
              </w:rPr>
              <w:t xml:space="preserve">Email, dati di account</w:t>
            </w:r>
          </w:p>
        </w:tc>
        <w:tc>
          <w:tcPr>
            <w:tcW w:type="dxa" w:w="2700"/>
            <w:tcMar>
              <w:top w:type="dxa" w:w="80"/>
              <w:left w:type="dxa" w:w="120"/>
              <w:bottom w:type="dxa" w:w="80"/>
              <w:right w:type="dxa" w:w="120"/>
            </w:tcMar>
          </w:tcPr>
          <w:p>
            <w:pPr>
              <w:spacing w:line="260"/>
            </w:pPr>
            <w:r>
              <w:rPr>
                <w:b w:val="false"/>
                <w:bCs w:val="false"/>
                <w:sz w:val="19"/>
                <w:szCs w:val="19"/>
              </w:rPr>
              <w:t xml:space="preserve">Art. 6(1)(a) — consenso (revocabile in ogni momento)</w:t>
            </w:r>
          </w:p>
        </w:tc>
      </w:tr>
      <w:tr>
        <w:tc>
          <w:tcPr>
            <w:tcW w:type="dxa" w:w="3300"/>
            <w:tcMar>
              <w:top w:type="dxa" w:w="80"/>
              <w:left w:type="dxa" w:w="120"/>
              <w:bottom w:type="dxa" w:w="80"/>
              <w:right w:type="dxa" w:w="120"/>
            </w:tcMar>
          </w:tcPr>
          <w:p>
            <w:pPr>
              <w:spacing w:line="260"/>
            </w:pPr>
            <w:r>
              <w:rPr>
                <w:b w:val="false"/>
                <w:bCs w:val="false"/>
                <w:sz w:val="19"/>
                <w:szCs w:val="19"/>
              </w:rPr>
              <w:t xml:space="preserve">Cookie analitici e di marketing</w:t>
            </w:r>
          </w:p>
        </w:tc>
        <w:tc>
          <w:tcPr>
            <w:tcW w:type="dxa" w:w="3300"/>
            <w:tcMar>
              <w:top w:type="dxa" w:w="80"/>
              <w:left w:type="dxa" w:w="120"/>
              <w:bottom w:type="dxa" w:w="80"/>
              <w:right w:type="dxa" w:w="120"/>
            </w:tcMar>
          </w:tcPr>
          <w:p>
            <w:pPr>
              <w:spacing w:line="260"/>
            </w:pPr>
            <w:r>
              <w:rPr>
                <w:b w:val="false"/>
                <w:bCs w:val="false"/>
                <w:sz w:val="19"/>
                <w:szCs w:val="19"/>
              </w:rPr>
              <w:t xml:space="preserve">Dati cookie/dispositivo</w:t>
            </w:r>
          </w:p>
        </w:tc>
        <w:tc>
          <w:tcPr>
            <w:tcW w:type="dxa" w:w="2700"/>
            <w:tcMar>
              <w:top w:type="dxa" w:w="80"/>
              <w:left w:type="dxa" w:w="120"/>
              <w:bottom w:type="dxa" w:w="80"/>
              <w:right w:type="dxa" w:w="120"/>
            </w:tcMar>
          </w:tcPr>
          <w:p>
            <w:pPr>
              <w:spacing w:line="260"/>
            </w:pPr>
            <w:r>
              <w:rPr>
                <w:b w:val="false"/>
                <w:bCs w:val="false"/>
                <w:sz w:val="19"/>
                <w:szCs w:val="19"/>
              </w:rPr>
              <w:t xml:space="preserve">Consenso (v. Cookie Policy)</w:t>
            </w:r>
          </w:p>
        </w:tc>
      </w:tr>
      <w:tr>
        <w:tc>
          <w:tcPr>
            <w:tcW w:type="dxa" w:w="3300"/>
            <w:tcMar>
              <w:top w:type="dxa" w:w="80"/>
              <w:left w:type="dxa" w:w="120"/>
              <w:bottom w:type="dxa" w:w="80"/>
              <w:right w:type="dxa" w:w="120"/>
            </w:tcMar>
          </w:tcPr>
          <w:p>
            <w:pPr>
              <w:spacing w:line="260"/>
            </w:pPr>
            <w:r>
              <w:rPr>
                <w:b w:val="false"/>
                <w:bCs w:val="false"/>
                <w:sz w:val="19"/>
                <w:szCs w:val="19"/>
              </w:rPr>
              <w:t xml:space="preserve">Adempimento di obblighi di legge (fiscali, contabili, DSA, AI Act, richieste delle autorità)</w:t>
            </w:r>
          </w:p>
        </w:tc>
        <w:tc>
          <w:tcPr>
            <w:tcW w:type="dxa" w:w="3300"/>
            <w:tcMar>
              <w:top w:type="dxa" w:w="80"/>
              <w:left w:type="dxa" w:w="120"/>
              <w:bottom w:type="dxa" w:w="80"/>
              <w:right w:type="dxa" w:w="120"/>
            </w:tcMar>
          </w:tcPr>
          <w:p>
            <w:pPr>
              <w:spacing w:line="260"/>
            </w:pPr>
            <w:r>
              <w:rPr>
                <w:b w:val="false"/>
                <w:bCs w:val="false"/>
                <w:sz w:val="19"/>
                <w:szCs w:val="19"/>
              </w:rPr>
              <w:t xml:space="preserve">Dati di account e pagamento</w:t>
            </w:r>
          </w:p>
        </w:tc>
        <w:tc>
          <w:tcPr>
            <w:tcW w:type="dxa" w:w="2700"/>
            <w:tcMar>
              <w:top w:type="dxa" w:w="80"/>
              <w:left w:type="dxa" w:w="120"/>
              <w:bottom w:type="dxa" w:w="80"/>
              <w:right w:type="dxa" w:w="120"/>
            </w:tcMar>
          </w:tcPr>
          <w:p>
            <w:pPr>
              <w:spacing w:line="260"/>
            </w:pPr>
            <w:r>
              <w:rPr>
                <w:b w:val="false"/>
                <w:bCs w:val="false"/>
                <w:sz w:val="19"/>
                <w:szCs w:val="19"/>
              </w:rPr>
              <w:t xml:space="preserve">Art. 6(1)(c) — obbligo legale</w:t>
            </w:r>
          </w:p>
        </w:tc>
      </w:tr>
      <w:tr>
        <w:tc>
          <w:tcPr>
            <w:tcW w:type="dxa" w:w="3300"/>
            <w:tcMar>
              <w:top w:type="dxa" w:w="80"/>
              <w:left w:type="dxa" w:w="120"/>
              <w:bottom w:type="dxa" w:w="80"/>
              <w:right w:type="dxa" w:w="120"/>
            </w:tcMar>
          </w:tcPr>
          <w:p>
            <w:pPr>
              <w:spacing w:line="260"/>
            </w:pPr>
            <w:r>
              <w:rPr>
                <w:b w:val="false"/>
                <w:bCs w:val="false"/>
                <w:sz w:val="19"/>
                <w:szCs w:val="19"/>
              </w:rPr>
              <w:t xml:space="preserve">Difesa in giudizio ed esercizio di diritti</w:t>
            </w:r>
          </w:p>
        </w:tc>
        <w:tc>
          <w:tcPr>
            <w:tcW w:type="dxa" w:w="3300"/>
            <w:tcMar>
              <w:top w:type="dxa" w:w="80"/>
              <w:left w:type="dxa" w:w="120"/>
              <w:bottom w:type="dxa" w:w="80"/>
              <w:right w:type="dxa" w:w="120"/>
            </w:tcMar>
          </w:tcPr>
          <w:p>
            <w:pPr>
              <w:spacing w:line="260"/>
            </w:pPr>
            <w:r>
              <w:rPr>
                <w:b w:val="false"/>
                <w:bCs w:val="false"/>
                <w:sz w:val="19"/>
                <w:szCs w:val="19"/>
              </w:rPr>
              <w:t xml:space="preserve">Dati necessari alla difesa</w:t>
            </w:r>
          </w:p>
        </w:tc>
        <w:tc>
          <w:tcPr>
            <w:tcW w:type="dxa" w:w="2700"/>
            <w:tcMar>
              <w:top w:type="dxa" w:w="80"/>
              <w:left w:type="dxa" w:w="120"/>
              <w:bottom w:type="dxa" w:w="80"/>
              <w:right w:type="dxa" w:w="120"/>
            </w:tcMar>
          </w:tcPr>
          <w:p>
            <w:pPr>
              <w:spacing w:line="260"/>
            </w:pPr>
            <w:r>
              <w:rPr>
                <w:b w:val="false"/>
                <w:bCs w:val="false"/>
                <w:sz w:val="19"/>
                <w:szCs w:val="19"/>
              </w:rPr>
              <w:t xml:space="preserve">Art. 6(1)(f) / 9(2)(f) — legittimo interesse / esercizio di diritti in sede giudiziaria</w:t>
            </w:r>
          </w:p>
        </w:tc>
      </w:tr>
    </w:tbl>
    <w:p>
      <w:pPr>
        <w:spacing w:after="140"/>
      </w:pPr>
    </w:p>
    <w:p>
      <w:pPr>
        <w:spacing w:after="140" w:line="300"/>
        <w:jc w:val="both"/>
      </w:pPr>
      <w:r>
        <w:t xml:space="preserve"/>
      </w:r>
      <w:r>
        <w:rPr>
          <w:b/>
          <w:bCs/>
        </w:rPr>
        <w:t xml:space="preserve">I dati relativi alla salute e al fitness sono trattati solo con il tuo consenso esplicito</w:t>
      </w:r>
      <w:r>
        <w:t xml:space="preserve">, richiesto in fase di registrazione o all'attivazione delle relative funzionalità. Puoi revocare il consenso in qualsiasi momento dalle impostazioni dell'account o scrivendo a </w:t>
      </w:r>
      <w:r>
        <w:rPr>
          <w:b/>
          <w:bCs/>
        </w:rPr>
        <w:t xml:space="preserve">[EMAIL PRIVACY]</w:t>
      </w:r>
      <w:r>
        <w:t xml:space="preserve">; la revoca non pregiudica i trattamenti effettuati in precedenza, ma alcune funzionalità (es. piani di allenamento IA) non saranno più disponibili.</w:t>
      </w:r>
    </w:p>
    <w:p>
      <w:pPr>
        <w:pStyle w:val="Heading1"/>
        <w:spacing w:after="120" w:before="300"/>
      </w:pPr>
      <w:r>
        <w:t xml:space="preserve">3. Trattamenti tramite IA e decisioni automatizzate</w:t>
      </w:r>
    </w:p>
    <w:p>
      <w:pPr>
        <w:spacing w:after="140" w:line="300"/>
        <w:jc w:val="both"/>
      </w:pPr>
      <w:r>
        <w:t xml:space="preserve">Il Servizio utilizza modelli di IA per generare suggerimenti di allenamento e analisi a partire dai tuoi dati. Si tratta di una forma di profilazione limitata a finalità sportive/di fitness. </w:t>
      </w:r>
      <w:r>
        <w:rPr>
          <w:b/>
          <w:bCs/>
        </w:rPr>
        <w:t xml:space="preserve">Nessuna decisione che produca effetti giuridici o incida in modo analogo significativo su di te è adottata unicamente mediante trattamento automatizzato</w:t>
      </w:r>
      <w:r>
        <w:t xml:space="preserve"> ai sensi dell'art. 22 GDPR: gli output dell'IA sono suggerimenti che tu (o il tuo allenatore) restate liberi di accettare, modificare o ignorare.</w:t>
      </w:r>
    </w:p>
    <w:p>
      <w:pPr>
        <w:spacing w:after="140" w:line="300"/>
        <w:jc w:val="both"/>
      </w:pPr>
      <w:r>
        <w:t xml:space="preserve">Ove siano utilizzati fornitori terzi di IA (es. </w:t>
      </w:r>
      <w:r>
        <w:rPr>
          <w:b/>
          <w:bCs/>
        </w:rPr>
        <w:t xml:space="preserve">[FORNITORE/I IA]</w:t>
      </w:r>
      <w:r>
        <w:t xml:space="preserve">), questi agiscono come responsabili del trattamento ex art. 28 GDPR e </w:t>
      </w:r>
      <w:r>
        <w:rPr>
          <w:b/>
          <w:bCs/>
        </w:rPr>
        <w:t xml:space="preserve">hanno il divieto contrattuale di utilizzare i tuoi dati per addestrare i propri modelli</w:t>
      </w:r>
      <w:r>
        <w:t xml:space="preserve">; i dati sono pseudonimizzati prima dell'invio: il riepilogo che trasmettiamo non contiene nome, cognome né altri dati identificativi diretti dell'atleta, indicato invece con uno pseudonimo valido per la singola richiesta. Fa eccezione il testo che scrivi tu stesso in chat: se ci inserisci un nome, quel nome viene trasmesso. Puoi richiedere una revisione umana o contestare qualsiasi output che ti riguardi in modo significativo scrivendo a </w:t>
      </w:r>
      <w:r>
        <w:rPr>
          <w:b/>
          <w:bCs/>
        </w:rPr>
        <w:t xml:space="preserve">[EMAIL PRIVACY]</w:t>
      </w:r>
      <w:r>
        <w:t xml:space="preserve">.</w:t>
      </w:r>
    </w:p>
    <w:p>
      <w:pPr>
        <w:spacing w:after="140" w:line="300"/>
        <w:jc w:val="both"/>
      </w:pPr>
      <w:r>
        <w:t xml:space="preserve"/>
      </w:r>
      <w:r>
        <w:rPr>
          <w:b/>
          <w:bCs/>
        </w:rPr>
        <w:t xml:space="preserve">AI Act (Regolamento (UE) 2024/1689).</w:t>
      </w:r>
      <w:r>
        <w:t xml:space="preserve"> Le funzionalità di IA del Servizio rientrano nel regime di trasparenza dell'art. 50 dell'AI Act, applicabile dal 2 agosto 2026: sei informato quando interagisci con un sistema di IA e i contenuti generati dall'IA sono identificati come tali all'interno del Servizio. Sulla base della nostra valutazione, il Servizio </w:t>
      </w:r>
      <w:r>
        <w:rPr>
          <w:b/>
          <w:bCs/>
        </w:rPr>
        <w:t xml:space="preserve">non è un sistema di IA ad alto rischio</w:t>
      </w:r>
      <w:r>
        <w:t xml:space="preserve"> ai sensi dell'Allegato III dell'AI Act, non effettua riconoscimento delle emozioni né categorizzazione biometrica e non pone in essere alcuna pratica vietata dall'art. 5. Tale valutazione è documentata e viene riesaminata alla luce delle linee guida della Commissione Europea e delle modifiche successive (incluso il regolamento "AI Digital Omnibus" del 2026).</w:t>
      </w:r>
    </w:p>
    <w:p>
      <w:pPr>
        <w:pStyle w:val="Heading1"/>
        <w:spacing w:after="120" w:before="300"/>
      </w:pPr>
      <w:r>
        <w:t xml:space="preserve">4. Destinatari e responsabili del trattamento</w:t>
      </w:r>
    </w:p>
    <w:p>
      <w:pPr>
        <w:spacing w:after="140" w:line="300"/>
        <w:jc w:val="both"/>
      </w:pPr>
      <w:r>
        <w:t xml:space="preserve">I dati possono essere comunicati a: (i) fornitori tecnici nominati responsabili del trattamento (hosting e infrastruttura cloud, es. </w:t>
      </w:r>
      <w:r>
        <w:rPr>
          <w:b/>
          <w:bCs/>
        </w:rPr>
        <w:t xml:space="preserve">[FORNITORE HOSTING]</w:t>
      </w:r>
      <w:r>
        <w:t xml:space="preserve">; invio email transazionali; pagamenti — Stripe; analytics; fornitori di modelli IA); (ii) allenatori o staff che decidi espressamente di collegare tramite il Servizio (in tal caso l'allenatore agisce come </w:t>
      </w:r>
      <w:r>
        <w:rPr>
          <w:b/>
          <w:bCs/>
        </w:rPr>
        <w:t xml:space="preserve">contitolare o responsabile autonomo</w:t>
      </w:r>
      <w:r>
        <w:t xml:space="preserve"> a seconda del contesto, disciplinato da apposito accordo ex art. 26 o 28 GDPR); (iii) autorità competenti nei casi previsti dalla legge; (iv) consulenti professionali tenuti al segreto. L'</w:t>
      </w:r>
      <w:r>
        <w:rPr>
          <w:b/>
          <w:bCs/>
        </w:rPr>
        <w:t xml:space="preserve">elenco aggiornato dei responsabili</w:t>
      </w:r>
      <w:r>
        <w:t xml:space="preserve"> è disponibile su richiesta a </w:t>
      </w:r>
      <w:r>
        <w:rPr>
          <w:b/>
          <w:bCs/>
        </w:rPr>
        <w:t xml:space="preserve">[EMAIL PRIVACY]</w:t>
      </w:r>
      <w:r>
        <w:t xml:space="preserve">. </w:t>
      </w:r>
      <w:r>
        <w:rPr>
          <w:b/>
          <w:bCs/>
        </w:rPr>
        <w:t xml:space="preserve">Non vendiamo i tuoi dati personali</w:t>
      </w:r>
      <w:r>
        <w:t xml:space="preserve"> e non li scambiamo con broker pubblicitari.</w:t>
      </w:r>
    </w:p>
    <w:p>
      <w:pPr>
        <w:pStyle w:val="Heading1"/>
        <w:spacing w:after="120" w:before="300"/>
      </w:pPr>
      <w:r>
        <w:t xml:space="preserve">5. Trasferimenti extra-SEE</w:t>
      </w:r>
    </w:p>
    <w:p>
      <w:pPr>
        <w:spacing w:after="140" w:line="300"/>
        <w:jc w:val="both"/>
      </w:pPr>
      <w:r>
        <w:t xml:space="preserve">Alcuni fornitori possono essere stabiliti al di fuori dello Spazio Economico Europeo (es. Stati Uniti). In tali casi i trasferimenti avvengono sulla base di:</w:t>
      </w:r>
    </w:p>
    <w:p>
      <w:pPr>
        <w:pStyle w:val="ListParagraph"/>
        <w:numPr>
          <w:ilvl w:val="0"/>
          <w:numId w:val="2"/>
        </w:numPr>
        <w:spacing w:after="80" w:line="300"/>
      </w:pPr>
      <w:r>
        <w:t xml:space="preserve">una </w:t>
      </w:r>
      <w:r>
        <w:rPr>
          <w:b/>
          <w:bCs/>
        </w:rPr>
        <w:t xml:space="preserve">decisione di adeguatezza</w:t>
      </w:r>
      <w:r>
        <w:t xml:space="preserve"> della Commissione Europea (incluso l'EU-U.S. Data Privacy Framework, ove il destinatario sia certificato);</w:t>
      </w:r>
    </w:p>
    <w:p>
      <w:pPr>
        <w:pStyle w:val="ListParagraph"/>
        <w:numPr>
          <w:ilvl w:val="0"/>
          <w:numId w:val="2"/>
        </w:numPr>
        <w:spacing w:after="80" w:line="300"/>
      </w:pPr>
      <w:r>
        <w:t xml:space="preserve"/>
      </w:r>
      <w:r>
        <w:rPr>
          <w:b/>
          <w:bCs/>
        </w:rPr>
        <w:t xml:space="preserve">Clausole Contrattuali Standard (SCC)</w:t>
      </w:r>
      <w:r>
        <w:t xml:space="preserve"> ex art. 46 GDPR, con eventuali misure supplementari (cifratura, pseudonimizzazione, contratti rafforzati) individuate a seguito di una valutazione d'impatto sui trasferimenti (TIA);</w:t>
      </w:r>
    </w:p>
    <w:p>
      <w:pPr>
        <w:pStyle w:val="ListParagraph"/>
        <w:numPr>
          <w:ilvl w:val="0"/>
          <w:numId w:val="2"/>
        </w:numPr>
        <w:spacing w:after="80" w:line="300"/>
      </w:pPr>
      <w:r>
        <w:t xml:space="preserve"/>
      </w:r>
      <w:r>
        <w:rPr>
          <w:b/>
          <w:bCs/>
        </w:rPr>
        <w:t xml:space="preserve">deroghe</w:t>
      </w:r>
      <w:r>
        <w:t xml:space="preserve"> ex art. 49 GDPR nei limitati casi in cui siano applicabili.</w:t>
      </w:r>
    </w:p>
    <w:p>
      <w:pPr>
        <w:spacing w:after="140" w:line="300"/>
        <w:jc w:val="both"/>
      </w:pPr>
      <w:r>
        <w:t xml:space="preserve">Copia delle garanzie è disponibile su richiesta a </w:t>
      </w:r>
      <w:r>
        <w:rPr>
          <w:b/>
          <w:bCs/>
        </w:rPr>
        <w:t xml:space="preserve">[EMAIL PRIVACY]</w:t>
      </w:r>
      <w:r>
        <w:t xml:space="preserve">.</w:t>
      </w:r>
    </w:p>
    <w:p>
      <w:pPr>
        <w:pStyle w:val="Heading1"/>
        <w:spacing w:after="120" w:before="300"/>
      </w:pPr>
      <w:r>
        <w:t xml:space="preserve">6. Conservazione</w:t>
      </w:r>
    </w:p>
    <w:p>
      <w:pPr>
        <w:pStyle w:val="ListParagraph"/>
        <w:numPr>
          <w:ilvl w:val="0"/>
          <w:numId w:val="2"/>
        </w:numPr>
        <w:spacing w:after="80" w:line="300"/>
      </w:pPr>
      <w:r>
        <w:t xml:space="preserve">Dati di account e profilo: per tutta la durata dell'account, poi cancellati o anonimizzati entro </w:t>
      </w:r>
      <w:r>
        <w:rPr>
          <w:b/>
          <w:bCs/>
        </w:rPr>
        <w:t xml:space="preserve">30 giorni</w:t>
      </w:r>
      <w:r>
        <w:t xml:space="preserve"> dalla cancellazione (fatti salvi obblighi di conservazione più lunghi).</w:t>
      </w:r>
    </w:p>
    <w:p>
      <w:pPr>
        <w:pStyle w:val="ListParagraph"/>
        <w:numPr>
          <w:ilvl w:val="0"/>
          <w:numId w:val="2"/>
        </w:numPr>
        <w:spacing w:after="80" w:line="300"/>
      </w:pPr>
      <w:r>
        <w:t xml:space="preserve">Dati salute e fitness: fino alla revoca del consenso o alla cancellazione dell'account, poi cancellati o anonimizzati in modo irreversibile.</w:t>
      </w:r>
    </w:p>
    <w:p>
      <w:pPr>
        <w:pStyle w:val="ListParagraph"/>
        <w:numPr>
          <w:ilvl w:val="0"/>
          <w:numId w:val="2"/>
        </w:numPr>
        <w:spacing w:after="80" w:line="300"/>
      </w:pPr>
      <w:r>
        <w:t xml:space="preserve">Contenuti IA (prompt e output): per la durata dell'account e comunque per un massimo di </w:t>
      </w:r>
      <w:r>
        <w:rPr>
          <w:b/>
          <w:bCs/>
        </w:rPr>
        <w:t xml:space="preserve">24 mesi</w:t>
      </w:r>
      <w:r>
        <w:t xml:space="preserve"> ai fini di sicurezza, debug e miglioramento.</w:t>
      </w:r>
    </w:p>
    <w:p>
      <w:pPr>
        <w:pStyle w:val="ListParagraph"/>
        <w:numPr>
          <w:ilvl w:val="0"/>
          <w:numId w:val="2"/>
        </w:numPr>
        <w:spacing w:after="80" w:line="300"/>
      </w:pPr>
      <w:r>
        <w:t xml:space="preserve">Documentazione contabile e fiscale: </w:t>
      </w:r>
      <w:r>
        <w:rPr>
          <w:b/>
          <w:bCs/>
        </w:rPr>
        <w:t xml:space="preserve">10 anni</w:t>
      </w:r>
      <w:r>
        <w:t xml:space="preserve"> (obbligo di legge).</w:t>
      </w:r>
    </w:p>
    <w:p>
      <w:pPr>
        <w:pStyle w:val="ListParagraph"/>
        <w:numPr>
          <w:ilvl w:val="0"/>
          <w:numId w:val="2"/>
        </w:numPr>
        <w:spacing w:after="80" w:line="300"/>
      </w:pPr>
      <w:r>
        <w:t xml:space="preserve">Log di sicurezza: fino a </w:t>
      </w:r>
      <w:r>
        <w:rPr>
          <w:b/>
          <w:bCs/>
        </w:rPr>
        <w:t xml:space="preserve">12 mesi</w:t>
      </w:r>
      <w:r>
        <w:t xml:space="preserve">.</w:t>
      </w:r>
    </w:p>
    <w:p>
      <w:pPr>
        <w:pStyle w:val="ListParagraph"/>
        <w:numPr>
          <w:ilvl w:val="0"/>
          <w:numId w:val="2"/>
        </w:numPr>
        <w:spacing w:after="80" w:line="300"/>
      </w:pPr>
      <w:r>
        <w:t xml:space="preserve">Consensi marketing e dati di contatto: fino alla revoca o dopo </w:t>
      </w:r>
      <w:r>
        <w:rPr>
          <w:b/>
          <w:bCs/>
        </w:rPr>
        <w:t xml:space="preserve">24 mesi</w:t>
      </w:r>
      <w:r>
        <w:t xml:space="preserve"> di inattività.</w:t>
      </w:r>
    </w:p>
    <w:p>
      <w:pPr>
        <w:pStyle w:val="ListParagraph"/>
        <w:numPr>
          <w:ilvl w:val="0"/>
          <w:numId w:val="2"/>
        </w:numPr>
        <w:spacing w:after="80" w:line="300"/>
      </w:pPr>
      <w:r>
        <w:t xml:space="preserve">Backup: sovrascritti secondo un ciclo di rotazione non superiore a </w:t>
      </w:r>
      <w:r>
        <w:rPr>
          <w:b/>
          <w:bCs/>
        </w:rPr>
        <w:t xml:space="preserve">90 giorni</w:t>
      </w:r>
      <w:r>
        <w:t xml:space="preserve">.</w:t>
      </w:r>
    </w:p>
    <w:p>
      <w:pPr>
        <w:pStyle w:val="Heading1"/>
        <w:spacing w:after="120" w:before="300"/>
      </w:pPr>
      <w:r>
        <w:t xml:space="preserve">7. I tuoi diritti</w:t>
      </w:r>
    </w:p>
    <w:p>
      <w:pPr>
        <w:spacing w:after="140" w:line="300"/>
        <w:jc w:val="both"/>
      </w:pPr>
      <w:r>
        <w:t xml:space="preserve">Ai sensi degli artt. 15–22 GDPR hai diritto di: </w:t>
      </w:r>
      <w:r>
        <w:rPr>
          <w:b/>
          <w:bCs/>
        </w:rPr>
        <w:t xml:space="preserve">accedere</w:t>
      </w:r>
      <w:r>
        <w:t xml:space="preserve"> ai tuoi dati; ottenerne la </w:t>
      </w:r>
      <w:r>
        <w:rPr>
          <w:b/>
          <w:bCs/>
        </w:rPr>
        <w:t xml:space="preserve">rettifica</w:t>
      </w:r>
      <w:r>
        <w:t xml:space="preserve"> o la </w:t>
      </w:r>
      <w:r>
        <w:rPr>
          <w:b/>
          <w:bCs/>
        </w:rPr>
        <w:t xml:space="preserve">cancellazione</w:t>
      </w:r>
      <w:r>
        <w:t xml:space="preserve"> ("diritto all'oblio"); </w:t>
      </w:r>
      <w:r>
        <w:rPr>
          <w:b/>
          <w:bCs/>
        </w:rPr>
        <w:t xml:space="preserve">limitare</w:t>
      </w:r>
      <w:r>
        <w:t xml:space="preserve"> il trattamento; </w:t>
      </w:r>
      <w:r>
        <w:rPr>
          <w:b/>
          <w:bCs/>
        </w:rPr>
        <w:t xml:space="preserve">opporti</w:t>
      </w:r>
      <w:r>
        <w:t xml:space="preserve"> ai trattamenti basati sul legittimo interesse; ricevere i tuoi dati in </w:t>
      </w:r>
      <w:r>
        <w:rPr>
          <w:b/>
          <w:bCs/>
        </w:rPr>
        <w:t xml:space="preserve">formato portabile</w:t>
      </w:r>
      <w:r>
        <w:t xml:space="preserve">; </w:t>
      </w:r>
      <w:r>
        <w:rPr>
          <w:b/>
          <w:bCs/>
        </w:rPr>
        <w:t xml:space="preserve">revocare il consenso</w:t>
      </w:r>
      <w:r>
        <w:t xml:space="preserve"> in qualsiasi momento senza pregiudizio per i trattamenti precedenti. Per esercitare i diritti scrivi a </w:t>
      </w:r>
      <w:r>
        <w:rPr>
          <w:b/>
          <w:bCs/>
        </w:rPr>
        <w:t xml:space="preserve">[EMAIL PRIVACY]</w:t>
      </w:r>
      <w:r>
        <w:t xml:space="preserve"> oppure utilizza gli strumenti self-service nelle impostazioni dell'account (esportazione ed eliminazione). Rispondiamo entro </w:t>
      </w:r>
      <w:r>
        <w:rPr>
          <w:b/>
          <w:bCs/>
        </w:rPr>
        <w:t xml:space="preserve">un mese</w:t>
      </w:r>
      <w:r>
        <w:t xml:space="preserve"> (prorogabile di due mesi nei casi complessi).</w:t>
      </w:r>
    </w:p>
    <w:p>
      <w:pPr>
        <w:spacing w:after="140" w:line="300"/>
        <w:jc w:val="both"/>
      </w:pPr>
      <w:r>
        <w:t xml:space="preserve">Hai inoltre diritto di proporre </w:t>
      </w:r>
      <w:r>
        <w:rPr>
          <w:b/>
          <w:bCs/>
        </w:rPr>
        <w:t xml:space="preserve">reclamo</w:t>
      </w:r>
      <w:r>
        <w:t xml:space="preserve"> al </w:t>
      </w:r>
      <w:r>
        <w:rPr>
          <w:b/>
          <w:bCs/>
        </w:rPr>
        <w:t xml:space="preserve">Garante per la protezione dei dati personali</w:t>
      </w:r>
      <w:r>
        <w:t xml:space="preserve"> (www.garanteprivacy.it) o all'autorità di controllo del tuo luogo di residenza.</w:t>
      </w:r>
    </w:p>
    <w:p>
      <w:pPr>
        <w:pStyle w:val="Heading1"/>
        <w:spacing w:after="120" w:before="300"/>
      </w:pPr>
      <w:r>
        <w:t xml:space="preserve">8. Minori</w:t>
      </w:r>
    </w:p>
    <w:p>
      <w:pPr>
        <w:spacing w:after="140" w:line="300"/>
        <w:jc w:val="both"/>
      </w:pPr>
      <w:r>
        <w:t xml:space="preserve">Il Servizio è destinato a utenti di età pari o superiore a </w:t>
      </w:r>
      <w:r>
        <w:rPr>
          <w:b/>
          <w:bCs/>
        </w:rPr>
        <w:t xml:space="preserve">14 anni</w:t>
      </w:r>
      <w:r>
        <w:t xml:space="preserve">. In Italia, il minore che abbia compiuto 14 anni può esprimere validamente il consenso al trattamento dei propri dati personali in relazione ai servizi della società dell'informazione (art. 2-quinquies, D.lgs. 196/2003). Per gli utenti minori di 18 anni, il consenso al trattamento di dati salute/fitness e l'accettazione contrattuale richiedono il </w:t>
      </w:r>
      <w:r>
        <w:rPr>
          <w:b/>
          <w:bCs/>
        </w:rPr>
        <w:t xml:space="preserve">modulo di consenso genitoriale</w:t>
      </w:r>
      <w:r>
        <w:t xml:space="preserve"> firmato dal genitore o tutore. Se venissimo a conoscenza di dati raccolti da un minore di 14 anni senza valido consenso dei genitori, provvederemo alla cancellazione senza indebito ritardo.</w:t>
      </w:r>
    </w:p>
    <w:p>
      <w:pPr>
        <w:pStyle w:val="Heading1"/>
        <w:spacing w:after="120" w:before="300"/>
      </w:pPr>
      <w:r>
        <w:t xml:space="preserve">9. Sicurezza</w:t>
      </w:r>
    </w:p>
    <w:p>
      <w:pPr>
        <w:spacing w:after="140" w:line="300"/>
        <w:jc w:val="both"/>
      </w:pPr>
      <w:r>
        <w:t xml:space="preserve">Adottiamo misure tecniche e organizzative adeguate al rischio (art. 32 GDPR), tra cui: cifratura in transito (TLS) e a riposo dei dati sensibili, hashing delle password (algoritmi resistenti), controlli di accesso basati su ruolo (RBAC), autenticazione a più fattori sui sistemi interni, backup cifrati con test di ripristino, segregazione degli ambienti, logging e monitoraggio, gestione delle vulnerabilità, formazione del personale, valutazioni d'impatto (DPIA). Nessun sistema è completamente sicuro; </w:t>
      </w:r>
      <w:r>
        <w:rPr>
          <w:b/>
          <w:bCs/>
        </w:rPr>
        <w:t xml:space="preserve">in caso di violazione di dati personali</w:t>
      </w:r>
      <w:r>
        <w:t xml:space="preserve"> agiremo in conformità agli artt. 33–34 GDPR (notifica al Garante entro 72 ore e, se necessario, comunicazione agli interessati).</w:t>
      </w:r>
    </w:p>
    <w:p>
      <w:pPr>
        <w:pStyle w:val="Heading1"/>
        <w:spacing w:after="120" w:before="300"/>
      </w:pPr>
      <w:r>
        <w:t xml:space="preserve">10. Modifiche</w:t>
      </w:r>
    </w:p>
    <w:p>
      <w:pPr>
        <w:spacing w:after="140" w:line="300"/>
        <w:jc w:val="both"/>
      </w:pPr>
      <w:r>
        <w:t xml:space="preserve">Potremo aggiornare la presente Informativa; le modifiche sostanziali saranno comunicate tramite il Servizio o via email con almeno 15 giorni di anticipo. La data in alto indica la versione più recente. Manteniamo uno storico delle versioni disponibile su richiesta.</w:t>
      </w:r>
    </w:p>
    <w:p>
      <w:pPr>
        <w:pStyle w:val="Heading1"/>
        <w:spacing w:after="120" w:before="300"/>
      </w:pPr>
      <w:r>
        <w:t xml:space="preserve">11. Contatti</w:t>
      </w:r>
    </w:p>
    <w:p>
      <w:pPr>
        <w:spacing w:after="140" w:line="300"/>
        <w:jc w:val="both"/>
      </w:pPr>
      <w:r>
        <w:t xml:space="preserve">Titolare: </w:t>
      </w:r>
      <w:r>
        <w:rPr>
          <w:b/>
          <w:bCs/>
        </w:rPr>
        <w:t xml:space="preserve">[RAGIONE SOCIALE / NOME TITOLARE]</w:t>
      </w:r>
      <w:r>
        <w:t xml:space="preserve"> — </w:t>
      </w:r>
      <w:r>
        <w:rPr>
          <w:b/>
          <w:bCs/>
        </w:rPr>
        <w:t xml:space="preserve">[SEDE LEGALE]</w:t>
      </w:r>
      <w:r>
        <w:t xml:space="preserve"> — </w:t>
      </w:r>
      <w:r>
        <w:rPr>
          <w:b/>
          <w:bCs/>
        </w:rPr>
        <w:t xml:space="preserve">[EMAIL PRIVACY]</w:t>
      </w:r>
      <w:r>
        <w:t xml:space="preserve">. DPO: </w:t>
      </w:r>
      <w:r>
        <w:rPr>
          <w:b/>
          <w:bCs/>
        </w:rPr>
        <w:t xml:space="preserve">[EMAIL DPO se nominato]</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2026-07-21T14:36:39.732Z</dcterms:created>
  <dcterms:modified xsi:type="dcterms:W3CDTF">2026-07-21T14:36:39.732Z</dcterms:modified>
</cp:coreProperties>
</file>

<file path=docProps/custom.xml><?xml version="1.0" encoding="utf-8"?>
<Properties xmlns="http://schemas.openxmlformats.org/officeDocument/2006/custom-properties" xmlns:vt="http://schemas.openxmlformats.org/officeDocument/2006/docPropsVTypes"/>
</file>