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Accordo sul trattamento dei dati (DPA) — Coach e Società</w:t>
      </w:r>
    </w:p>
    <w:p>
      <w:pPr>
        <w:spacing w:after="60"/>
      </w:pPr>
      <w:r>
        <w:rPr>
          <w:i/>
          <w:iCs/>
          <w:color w:val="666666"/>
          <w:sz w:val="20"/>
          <w:szCs w:val="20"/>
        </w:rPr>
        <w:t xml:space="preserve">Ultimo aggiornamento: 21 luglio 2026 · Versione 1.0</w:t>
      </w:r>
    </w:p>
    <w:p>
      <w:pPr>
        <w:pBdr>
          <w:bottom w:val="single" w:color="2E3A59" w:sz="6"/>
        </w:pBdr>
        <w:spacing w:after="260"/>
      </w:pPr>
    </w:p>
    <w:p>
      <w:pPr>
        <w:spacing w:after="140" w:line="300"/>
        <w:jc w:val="both"/>
      </w:pPr>
      <w:r>
        <w:t xml:space="preserve">Il presente Accordo sul trattamento dei dati ("</w:t>
      </w:r>
      <w:r>
        <w:rPr>
          <w:b/>
          <w:bCs/>
        </w:rPr>
        <w:t xml:space="preserve">DPA</w:t>
      </w:r>
      <w:r>
        <w:t xml:space="preserve">") è concluso tra </w:t>
      </w:r>
      <w:r>
        <w:rPr>
          <w:b/>
          <w:bCs/>
        </w:rPr>
        <w:t xml:space="preserve">[RAGIONE SOCIALE / NOME TITOLARE]</w:t>
      </w:r>
      <w:r>
        <w:t xml:space="preserve"> ("</w:t>
      </w:r>
      <w:r>
        <w:rPr>
          <w:b/>
          <w:bCs/>
        </w:rPr>
        <w:t xml:space="preserve">Fornitore</w:t>
      </w:r>
      <w:r>
        <w:t xml:space="preserve">") e il coach/società sportiva utilizzatore del piano dedicato ("</w:t>
      </w:r>
      <w:r>
        <w:rPr>
          <w:b/>
          <w:bCs/>
        </w:rPr>
        <w:t xml:space="preserve">Cliente</w:t>
      </w:r>
      <w:r>
        <w:t xml:space="preserve">"), unitamente denominati "Parti". Il DPA integra i Termini di Servizio di TrainMind AI e disciplina il trattamento dei dati personali degli atleti gestiti dal Cliente attraverso la piattaforma.</w:t>
      </w:r>
    </w:p>
    <w:p>
      <w:pPr>
        <w:pStyle w:val="Heading1"/>
        <w:spacing w:after="120" w:before="300"/>
      </w:pPr>
      <w:r>
        <w:t xml:space="preserve">1. Ruoli</w:t>
      </w:r>
    </w:p>
    <w:p>
      <w:pPr>
        <w:spacing w:after="140" w:line="300"/>
        <w:jc w:val="both"/>
      </w:pPr>
      <w:r>
        <w:t xml:space="preserve">Ai sensi del Regolamento (UE) 2016/679 ("</w:t>
      </w:r>
      <w:r>
        <w:rPr>
          <w:b/>
          <w:bCs/>
        </w:rPr>
        <w:t xml:space="preserve">GDPR</w:t>
      </w:r>
      <w:r>
        <w:t xml:space="preserve">"), il Cliente è </w:t>
      </w:r>
      <w:r>
        <w:rPr>
          <w:b/>
          <w:bCs/>
        </w:rPr>
        <w:t xml:space="preserve">Titolare del trattamento</w:t>
      </w:r>
      <w:r>
        <w:t xml:space="preserve"> dei dati degli atleti da lui gestiti e il Fornitore è </w:t>
      </w:r>
      <w:r>
        <w:rPr>
          <w:b/>
          <w:bCs/>
        </w:rPr>
        <w:t xml:space="preserve">Responsabile del trattamento</w:t>
      </w:r>
      <w:r>
        <w:t xml:space="preserve"> ai sensi dell'art. 28 GDPR. Per i dati di account e utilizzo del Cliente stesso, invece, il Fornitore è Titolare autonomo.</w:t>
      </w:r>
    </w:p>
    <w:p>
      <w:pPr>
        <w:pStyle w:val="Heading1"/>
        <w:spacing w:after="120" w:before="300"/>
      </w:pPr>
      <w:r>
        <w:t xml:space="preserve">2. Oggetto, durata, natura e finalità del trattamento</w:t>
      </w:r>
    </w:p>
    <w:p>
      <w:pPr>
        <w:pStyle w:val="ListParagraph"/>
        <w:numPr>
          <w:ilvl w:val="0"/>
          <w:numId w:val="2"/>
        </w:numPr>
        <w:spacing w:after="80" w:line="300"/>
      </w:pPr>
      <w:r>
        <w:t xml:space="preserve"/>
      </w:r>
      <w:r>
        <w:rPr>
          <w:b/>
          <w:bCs/>
        </w:rPr>
        <w:t xml:space="preserve">Oggetto</w:t>
      </w:r>
      <w:r>
        <w:t xml:space="preserve">: erogazione della piattaforma TrainMind AI per la gestione degli allenamenti degli atleti.</w:t>
      </w:r>
    </w:p>
    <w:p>
      <w:pPr>
        <w:pStyle w:val="ListParagraph"/>
        <w:numPr>
          <w:ilvl w:val="0"/>
          <w:numId w:val="2"/>
        </w:numPr>
        <w:spacing w:after="80" w:line="300"/>
      </w:pPr>
      <w:r>
        <w:t xml:space="preserve"/>
      </w:r>
      <w:r>
        <w:rPr>
          <w:b/>
          <w:bCs/>
        </w:rPr>
        <w:t xml:space="preserve">Durata</w:t>
      </w:r>
      <w:r>
        <w:t xml:space="preserve">: coincide con la durata dell'abbonamento del Cliente più il periodo necessario alla restituzione o cancellazione dei dati.</w:t>
      </w:r>
    </w:p>
    <w:p>
      <w:pPr>
        <w:pStyle w:val="ListParagraph"/>
        <w:numPr>
          <w:ilvl w:val="0"/>
          <w:numId w:val="2"/>
        </w:numPr>
        <w:spacing w:after="80" w:line="300"/>
      </w:pPr>
      <w:r>
        <w:t xml:space="preserve"/>
      </w:r>
      <w:r>
        <w:rPr>
          <w:b/>
          <w:bCs/>
        </w:rPr>
        <w:t xml:space="preserve">Natura</w:t>
      </w:r>
      <w:r>
        <w:t xml:space="preserve">: raccolta, archiviazione, organizzazione, consultazione, elaborazione tramite IA, comunicazione ai destinatari indicati, cancellazione.</w:t>
      </w:r>
    </w:p>
    <w:p>
      <w:pPr>
        <w:pStyle w:val="ListParagraph"/>
        <w:numPr>
          <w:ilvl w:val="0"/>
          <w:numId w:val="2"/>
        </w:numPr>
        <w:spacing w:after="80" w:line="300"/>
      </w:pPr>
      <w:r>
        <w:t xml:space="preserve"/>
      </w:r>
      <w:r>
        <w:rPr>
          <w:b/>
          <w:bCs/>
        </w:rPr>
        <w:t xml:space="preserve">Finalità</w:t>
      </w:r>
      <w:r>
        <w:t xml:space="preserve">: pianificazione, monitoraggio e analisi degli allenamenti; comunicazione tra coach e atleti.</w:t>
      </w:r>
    </w:p>
    <w:p>
      <w:pPr>
        <w:pStyle w:val="ListParagraph"/>
        <w:numPr>
          <w:ilvl w:val="0"/>
          <w:numId w:val="2"/>
        </w:numPr>
        <w:spacing w:after="80" w:line="300"/>
      </w:pPr>
      <w:r>
        <w:t xml:space="preserve"/>
      </w:r>
      <w:r>
        <w:rPr>
          <w:b/>
          <w:bCs/>
        </w:rPr>
        <w:t xml:space="preserve">Tipi di dati</w:t>
      </w:r>
      <w:r>
        <w:t xml:space="preserve">: dati anagrafici, dati di contatto, dati salute e fitness (art. 9 GDPR), dati prestazionali, contenuti IA.</w:t>
      </w:r>
    </w:p>
    <w:p>
      <w:pPr>
        <w:pStyle w:val="ListParagraph"/>
        <w:numPr>
          <w:ilvl w:val="0"/>
          <w:numId w:val="2"/>
        </w:numPr>
        <w:spacing w:after="80" w:line="300"/>
      </w:pPr>
      <w:r>
        <w:t xml:space="preserve"/>
      </w:r>
      <w:r>
        <w:rPr>
          <w:b/>
          <w:bCs/>
        </w:rPr>
        <w:t xml:space="preserve">Categorie di interessati</w:t>
      </w:r>
      <w:r>
        <w:t xml:space="preserve">: atleti maggiorenni e minorenni (14+) collegati all'account del Cliente.</w:t>
      </w:r>
    </w:p>
    <w:p>
      <w:pPr>
        <w:pStyle w:val="Heading1"/>
        <w:spacing w:after="120" w:before="300"/>
      </w:pPr>
      <w:r>
        <w:t xml:space="preserve">3. Obblighi del Fornitore</w:t>
      </w:r>
    </w:p>
    <w:p>
      <w:pPr>
        <w:spacing w:after="140" w:line="300"/>
        <w:jc w:val="both"/>
      </w:pPr>
      <w:r>
        <w:t xml:space="preserve">Il Fornitore si impegna a:</w:t>
      </w:r>
    </w:p>
    <w:p>
      <w:pPr>
        <w:pStyle w:val="ListParagraph"/>
        <w:numPr>
          <w:ilvl w:val="0"/>
          <w:numId w:val="2"/>
        </w:numPr>
        <w:spacing w:after="80" w:line="300"/>
      </w:pPr>
      <w:r>
        <w:t xml:space="preserve">trattare i dati solo su istruzione documentata del Cliente (le istruzioni sono contenute nel DPA e nelle configurazioni della piattaforma); segnalare al Cliente eventuali istruzioni che ritenga in violazione della normativa;</w:t>
      </w:r>
    </w:p>
    <w:p>
      <w:pPr>
        <w:pStyle w:val="ListParagraph"/>
        <w:numPr>
          <w:ilvl w:val="0"/>
          <w:numId w:val="2"/>
        </w:numPr>
        <w:spacing w:after="80" w:line="300"/>
      </w:pPr>
      <w:r>
        <w:t xml:space="preserve">garantire che le persone autorizzate al trattamento siano vincolate a riservatezza;</w:t>
      </w:r>
    </w:p>
    <w:p>
      <w:pPr>
        <w:pStyle w:val="ListParagraph"/>
        <w:numPr>
          <w:ilvl w:val="0"/>
          <w:numId w:val="2"/>
        </w:numPr>
        <w:spacing w:after="80" w:line="300"/>
      </w:pPr>
      <w:r>
        <w:t xml:space="preserve">adottare le misure di sicurezza indicate all'art. 32 GDPR, descritte nell'Allegato "Misure di sicurezza";</w:t>
      </w:r>
    </w:p>
    <w:p>
      <w:pPr>
        <w:pStyle w:val="ListParagraph"/>
        <w:numPr>
          <w:ilvl w:val="0"/>
          <w:numId w:val="2"/>
        </w:numPr>
        <w:spacing w:after="80" w:line="300"/>
      </w:pPr>
      <w:r>
        <w:t xml:space="preserve">assistere il Cliente nell'evasione delle richieste degli interessati (artt. 15–22 GDPR);</w:t>
      </w:r>
    </w:p>
    <w:p>
      <w:pPr>
        <w:pStyle w:val="ListParagraph"/>
        <w:numPr>
          <w:ilvl w:val="0"/>
          <w:numId w:val="2"/>
        </w:numPr>
        <w:spacing w:after="80" w:line="300"/>
      </w:pPr>
      <w:r>
        <w:t xml:space="preserve">assistere il Cliente negli adempimenti di sicurezza, DPIA, notifiche di data breach e consultazione preventiva (artt. 32–36 GDPR);</w:t>
      </w:r>
    </w:p>
    <w:p>
      <w:pPr>
        <w:pStyle w:val="ListParagraph"/>
        <w:numPr>
          <w:ilvl w:val="0"/>
          <w:numId w:val="2"/>
        </w:numPr>
        <w:spacing w:after="80" w:line="300"/>
      </w:pPr>
      <w:r>
        <w:t xml:space="preserve">notificare al Cliente ogni violazione dei dati personali senza ingiustificato ritardo e comunque entro </w:t>
      </w:r>
      <w:r>
        <w:rPr>
          <w:b/>
          <w:bCs/>
        </w:rPr>
        <w:t xml:space="preserve">48 ore</w:t>
      </w:r>
      <w:r>
        <w:t xml:space="preserve"> dalla conoscenza, fornendo informazioni sufficienti a consentire al Cliente la notifica ex art. 33 GDPR;</w:t>
      </w:r>
    </w:p>
    <w:p>
      <w:pPr>
        <w:pStyle w:val="ListParagraph"/>
        <w:numPr>
          <w:ilvl w:val="0"/>
          <w:numId w:val="2"/>
        </w:numPr>
        <w:spacing w:after="80" w:line="300"/>
      </w:pPr>
      <w:r>
        <w:t xml:space="preserve">al termine del contratto, cancellare o restituire al Cliente i dati personali entro </w:t>
      </w:r>
      <w:r>
        <w:rPr>
          <w:b/>
          <w:bCs/>
        </w:rPr>
        <w:t xml:space="preserve">30 giorni</w:t>
      </w:r>
      <w:r>
        <w:t xml:space="preserve">, salvo diverso obbligo di legge;</w:t>
      </w:r>
    </w:p>
    <w:p>
      <w:pPr>
        <w:pStyle w:val="ListParagraph"/>
        <w:numPr>
          <w:ilvl w:val="0"/>
          <w:numId w:val="2"/>
        </w:numPr>
        <w:spacing w:after="80" w:line="300"/>
      </w:pPr>
      <w:r>
        <w:t xml:space="preserve">mettere a disposizione del Cliente tutte le informazioni necessarie a dimostrare la conformità con l'art. 28 GDPR e consentire audit annuali con ragionevole preavviso.</w:t>
      </w:r>
    </w:p>
    <w:p>
      <w:pPr>
        <w:pStyle w:val="Heading1"/>
        <w:spacing w:after="120" w:before="300"/>
      </w:pPr>
      <w:r>
        <w:t xml:space="preserve">4. Sub-responsabili</w:t>
      </w:r>
    </w:p>
    <w:p>
      <w:pPr>
        <w:spacing w:after="140" w:line="300"/>
        <w:jc w:val="both"/>
      </w:pPr>
      <w:r>
        <w:t xml:space="preserve">Il Cliente autorizza in modo generale il Fornitore ad avvalersi di sub-responsabili (hosting, IA, email, pagamenti, analytics). L'elenco dei sub-responsabili è disponibile al link </w:t>
      </w:r>
      <w:r>
        <w:rPr>
          <w:b/>
          <w:bCs/>
        </w:rPr>
        <w:t xml:space="preserve">[URL elenco sub-responsabili]</w:t>
      </w:r>
      <w:r>
        <w:t xml:space="preserve"> ed è aggiornato in caso di modifiche. Il Fornitore comunica al Cliente eventuali nuovi sub-responsabili con almeno 15 giorni di preavviso, consentendo al Cliente di opporsi per motivate ragioni di conformità; in caso di opposizione, il Fornitore proporrà un'alternativa o riconoscerà al Cliente il diritto di recedere.</w:t>
      </w:r>
    </w:p>
    <w:p>
      <w:pPr>
        <w:spacing w:after="140" w:line="300"/>
        <w:jc w:val="both"/>
      </w:pPr>
      <w:r>
        <w:t xml:space="preserve">I sub-responsabili sono vincolati da obblighi di protezione dei dati equivalenti a quelli del presente DPA. Il Fornitore risponde nei confronti del Cliente per l'operato dei sub-responsabili.</w:t>
      </w:r>
    </w:p>
    <w:p>
      <w:pPr>
        <w:pStyle w:val="Heading1"/>
        <w:spacing w:after="120" w:before="300"/>
      </w:pPr>
      <w:r>
        <w:t xml:space="preserve">5. Trasferimenti extra-SEE</w:t>
      </w:r>
    </w:p>
    <w:p>
      <w:pPr>
        <w:spacing w:after="140" w:line="300"/>
        <w:jc w:val="both"/>
      </w:pPr>
      <w:r>
        <w:t xml:space="preserve">Per i trasferimenti verso Paesi terzi si applicano le garanzie descritte nell'Informativa Privacy del Servizio (decisioni di adeguatezza incluso EU-U.S. Data Privacy Framework, Clausole Contrattuali Standard con misure supplementari, valutazioni d'impatto sui trasferimenti).</w:t>
      </w:r>
    </w:p>
    <w:p>
      <w:pPr>
        <w:pStyle w:val="Heading1"/>
        <w:spacing w:after="120" w:before="300"/>
      </w:pPr>
      <w:r>
        <w:t xml:space="preserve">6. Diritti degli interessati e assistenza al Cliente</w:t>
      </w:r>
    </w:p>
    <w:p>
      <w:pPr>
        <w:spacing w:after="140" w:line="300"/>
        <w:jc w:val="both"/>
      </w:pPr>
      <w:r>
        <w:t xml:space="preserve">Se un interessato si rivolge direttamente al Fornitore, questi inoltra la richiesta al Cliente senza dare seguito autonomamente, salvo diverso accordo o obbligo di legge. Il Fornitore assiste il Cliente con adeguate misure tecniche e organizzative nell'evasione delle richieste degli interessati.</w:t>
      </w:r>
    </w:p>
    <w:p>
      <w:pPr>
        <w:pStyle w:val="Heading1"/>
        <w:spacing w:after="120" w:before="300"/>
      </w:pPr>
      <w:r>
        <w:t xml:space="preserve">7. Misure di sicurezza (Allegato)</w:t>
      </w:r>
    </w:p>
    <w:p>
      <w:pPr>
        <w:pStyle w:val="ListParagraph"/>
        <w:numPr>
          <w:ilvl w:val="0"/>
          <w:numId w:val="2"/>
        </w:numPr>
        <w:spacing w:after="80" w:line="300"/>
      </w:pPr>
      <w:r>
        <w:t xml:space="preserve">cifratura in transito (TLS 1.2+) e a riposo per i dati sensibili;</w:t>
      </w:r>
    </w:p>
    <w:p>
      <w:pPr>
        <w:pStyle w:val="ListParagraph"/>
        <w:numPr>
          <w:ilvl w:val="0"/>
          <w:numId w:val="2"/>
        </w:numPr>
        <w:spacing w:after="80" w:line="300"/>
      </w:pPr>
      <w:r>
        <w:t xml:space="preserve">hashing delle password con algoritmi resistenti (Argon2/bcrypt);</w:t>
      </w:r>
    </w:p>
    <w:p>
      <w:pPr>
        <w:pStyle w:val="ListParagraph"/>
        <w:numPr>
          <w:ilvl w:val="0"/>
          <w:numId w:val="2"/>
        </w:numPr>
        <w:spacing w:after="80" w:line="300"/>
      </w:pPr>
      <w:r>
        <w:t xml:space="preserve">controlli di accesso basati su ruoli (RBAC) e principio del minimo privilegio;</w:t>
      </w:r>
    </w:p>
    <w:p>
      <w:pPr>
        <w:pStyle w:val="ListParagraph"/>
        <w:numPr>
          <w:ilvl w:val="0"/>
          <w:numId w:val="2"/>
        </w:numPr>
        <w:spacing w:after="80" w:line="300"/>
      </w:pPr>
      <w:r>
        <w:t xml:space="preserve">autenticazione multifattore per il personale del Fornitore;</w:t>
      </w:r>
    </w:p>
    <w:p>
      <w:pPr>
        <w:pStyle w:val="ListParagraph"/>
        <w:numPr>
          <w:ilvl w:val="0"/>
          <w:numId w:val="2"/>
        </w:numPr>
        <w:spacing w:after="80" w:line="300"/>
      </w:pPr>
      <w:r>
        <w:t xml:space="preserve">backup cifrati con test di ripristino periodici;</w:t>
      </w:r>
    </w:p>
    <w:p>
      <w:pPr>
        <w:pStyle w:val="ListParagraph"/>
        <w:numPr>
          <w:ilvl w:val="0"/>
          <w:numId w:val="2"/>
        </w:numPr>
        <w:spacing w:after="80" w:line="300"/>
      </w:pPr>
      <w:r>
        <w:t xml:space="preserve">segregazione degli ambienti (dev/staging/prod);</w:t>
      </w:r>
    </w:p>
    <w:p>
      <w:pPr>
        <w:pStyle w:val="ListParagraph"/>
        <w:numPr>
          <w:ilvl w:val="0"/>
          <w:numId w:val="2"/>
        </w:numPr>
        <w:spacing w:after="80" w:line="300"/>
      </w:pPr>
      <w:r>
        <w:t xml:space="preserve">logging, monitoraggio delle anomalie e gestione delle vulnerabilità;</w:t>
      </w:r>
    </w:p>
    <w:p>
      <w:pPr>
        <w:pStyle w:val="ListParagraph"/>
        <w:numPr>
          <w:ilvl w:val="0"/>
          <w:numId w:val="2"/>
        </w:numPr>
        <w:spacing w:after="80" w:line="300"/>
      </w:pPr>
      <w:r>
        <w:t xml:space="preserve">formazione periodica del personale sulla protezione dei dati;</w:t>
      </w:r>
    </w:p>
    <w:p>
      <w:pPr>
        <w:pStyle w:val="ListParagraph"/>
        <w:numPr>
          <w:ilvl w:val="0"/>
          <w:numId w:val="2"/>
        </w:numPr>
        <w:spacing w:after="80" w:line="300"/>
      </w:pPr>
      <w:r>
        <w:t xml:space="preserve">processo di gestione degli incidenti con notifiche entro 48 ore.</w:t>
      </w:r>
    </w:p>
    <w:p>
      <w:pPr>
        <w:pStyle w:val="Heading1"/>
        <w:spacing w:after="120" w:before="300"/>
      </w:pPr>
      <w:r>
        <w:t xml:space="preserve">8. Responsabilità e miscellanea</w:t>
      </w:r>
    </w:p>
    <w:p>
      <w:pPr>
        <w:spacing w:after="140" w:line="300"/>
        <w:jc w:val="both"/>
      </w:pPr>
      <w:r>
        <w:t xml:space="preserve">La responsabilità delle Parti è disciplinata dai Termini di Servizio, salvo quanto inderogabilmente previsto dal GDPR. Il presente DPA prevale sui Termini per le sole questioni relative al trattamento dei dati personali. In caso di conflitto tra le versioni linguistiche, prevale la versione italiana.</w:t>
      </w:r>
    </w:p>
    <w:p>
      <w:pPr>
        <w:pStyle w:val="Heading1"/>
        <w:spacing w:after="120" w:before="300"/>
      </w:pPr>
      <w:r>
        <w:t xml:space="preserve">9. Sottoscrizione</w:t>
      </w:r>
    </w:p>
    <w:p>
      <w:pPr>
        <w:spacing w:after="140" w:line="300"/>
        <w:jc w:val="both"/>
      </w:pPr>
      <w:r>
        <w:t xml:space="preserve">Il DPA si considera concluso al momento dell'accettazione dei Termini di Servizio da parte del Cliente sul piano dedicato coach/società. Le Parti possono richiedere copia sottoscritta all'indirizzo </w:t>
      </w:r>
      <w:r>
        <w:rPr>
          <w:b/>
          <w:bCs/>
        </w:rPr>
        <w:t xml:space="preserve">[EMAIL DI CONTATTO]</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2026-07-21T14:36:40.561Z</dcterms:created>
  <dcterms:modified xsi:type="dcterms:W3CDTF">2026-07-21T14:36:40.562Z</dcterms:modified>
</cp:coreProperties>
</file>

<file path=docProps/custom.xml><?xml version="1.0" encoding="utf-8"?>
<Properties xmlns="http://schemas.openxmlformats.org/officeDocument/2006/custom-properties" xmlns:vt="http://schemas.openxmlformats.org/officeDocument/2006/docPropsVTypes"/>
</file>