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A6B8C"/>
          <w:sz w:val="22"/>
          <w:szCs w:val="22"/>
        </w:rPr>
        <w:t xml:space="preserve">TrainMind AI</w:t>
      </w:r>
    </w:p>
    <w:p>
      <w:pPr>
        <w:pStyle w:val="Title"/>
        <w:spacing w:after="100"/>
      </w:pPr>
      <w:r>
        <w:rPr>
          <w:b/>
          <w:bCs/>
        </w:rPr>
        <w:t xml:space="preserve">Valutazione d'impatto sulla protezione dei dati (DPIA)</w:t>
      </w:r>
    </w:p>
    <w:p>
      <w:pPr>
        <w:spacing w:after="60"/>
      </w:pPr>
      <w:r>
        <w:rPr>
          <w:i/>
          <w:iCs/>
          <w:color w:val="666666"/>
          <w:sz w:val="20"/>
          <w:szCs w:val="20"/>
        </w:rPr>
        <w:t>Ultimo aggiornamento: 22 settembre 2026 · Versione 1.2</w:t>
      </w:r>
    </w:p>
    <w:p>
      <w:pPr>
        <w:pBdr>
          <w:bottom w:val="single" w:color="2E3A59" w:sz="6"/>
        </w:pBdr>
        <w:spacing w:after="260"/>
      </w:pPr>
    </w:p>
    <w:p>
      <w:pPr>
        <w:pStyle w:val="Heading2"/>
        <w:spacing w:after="100" w:before="220"/>
      </w:pPr>
      <w:r>
        <w:t xml:space="preserve">Oggetto</w:t>
      </w:r>
    </w:p>
    <w:p>
      <w:pPr>
        <w:spacing w:after="140" w:line="300"/>
        <w:jc w:val="both"/>
      </w:pPr>
      <w:r>
        <w:t xml:space="preserve">Valutazione d'impatto sulla protezione dei dati (Data Protection Impact Assessment, DPIA) ai sensi dell'art. 35 GDPR relativa alla piattaforma </w:t>
      </w:r>
      <w:r>
        <w:rPr>
          <w:b/>
          <w:bCs/>
        </w:rPr>
        <w:t xml:space="preserve">TrainMind AI</w:t>
      </w:r>
      <w:r>
        <w:t xml:space="preserve"> gestita da </w:t>
      </w:r>
      <w:r>
        <w:rPr>
          <w:b/>
          <w:bCs/>
        </w:rPr>
        <w:t xml:space="preserve">[RAGIONE SOCIALE / NOME TITOLARE]</w:t>
      </w:r>
      <w:r>
        <w:t xml:space="preserve"> (il "</w:t>
      </w:r>
      <w:r>
        <w:rPr>
          <w:b/>
          <w:bCs/>
        </w:rPr>
        <w:t xml:space="preserve">Titolare</w:t>
      </w:r>
      <w:r>
        <w:t xml:space="preserve">"), con particolare riferimento al trattamento </w:t>
      </w:r>
      <w:r>
        <w:rPr>
          <w:b/>
          <w:bCs/>
        </w:rPr>
        <w:t xml:space="preserve">combinato</w:t>
      </w:r>
      <w:r>
        <w:t xml:space="preserve"> di dati sanitari e di fitness, profilazione mediante intelligenza artificiale e utenti minorenni (14–17 anni).</w:t>
      </w:r>
    </w:p>
    <w:p>
      <w:pPr>
        <w:pStyle w:val="Heading1"/>
        <w:spacing w:after="120" w:before="300"/>
      </w:pPr>
      <w:r>
        <w:t xml:space="preserve">1. Perché una DPIA è necessaria</w:t>
      </w:r>
    </w:p>
    <w:p>
      <w:pPr>
        <w:spacing w:after="140" w:line="300"/>
        <w:jc w:val="both"/>
      </w:pPr>
      <w:r>
        <w:t xml:space="preserve">La DPIA è obbligatoria ai sensi dell'art. 35(3) GDPR e in linea con l'Allegato 1 del Provvedimento del Garante 11 ottobre 2018 (elenco dei trattamenti soggetti a DPIA). Nel caso di specie ricorrono almeno tre dei criteri WP29 (WP248):</w:t>
      </w:r>
    </w:p>
    <w:p>
      <w:pPr>
        <w:pStyle w:val="ListParagraph"/>
        <w:numPr>
          <w:ilvl w:val="0"/>
          <w:numId w:val="2"/>
        </w:numPr>
        <w:spacing w:after="80" w:line="300"/>
      </w:pPr>
      <w:r>
        <w:t xml:space="preserve"/>
      </w:r>
      <w:r>
        <w:rPr>
          <w:b/>
          <w:bCs/>
        </w:rPr>
        <w:t xml:space="preserve">Categorie particolari di dati</w:t>
      </w:r>
      <w:r>
        <w:t xml:space="preserve"> (art. 9 GDPR): dati relativi alla salute e allo stato psico-fisico degli atleti;</w:t>
      </w:r>
    </w:p>
    <w:p>
      <w:pPr>
        <w:pStyle w:val="ListParagraph"/>
        <w:numPr>
          <w:ilvl w:val="0"/>
          <w:numId w:val="2"/>
        </w:numPr>
        <w:spacing w:after="80" w:line="300"/>
      </w:pPr>
      <w:r>
        <w:t xml:space="preserve"/>
      </w:r>
      <w:r>
        <w:rPr>
          <w:b/>
          <w:bCs/>
        </w:rPr>
        <w:t xml:space="preserve">Profilazione</w:t>
      </w:r>
      <w:r>
        <w:t xml:space="preserve"> ed elaborazione predittiva mediante modelli di IA su carichi e prestazioni;</w:t>
      </w:r>
    </w:p>
    <w:p>
      <w:pPr>
        <w:pStyle w:val="ListParagraph"/>
        <w:numPr>
          <w:ilvl w:val="0"/>
          <w:numId w:val="2"/>
        </w:numPr>
        <w:spacing w:after="80" w:line="300"/>
      </w:pPr>
      <w:r>
        <w:t xml:space="preserve"/>
      </w:r>
      <w:r>
        <w:rPr>
          <w:b/>
          <w:bCs/>
        </w:rPr>
        <w:t xml:space="preserve">Dati di soggetti vulnerabili</w:t>
      </w:r>
      <w:r>
        <w:t xml:space="preserve">: utenti minorenni (14–17 anni);</w:t>
      </w:r>
    </w:p>
    <w:p>
      <w:pPr>
        <w:pStyle w:val="ListParagraph"/>
        <w:numPr>
          <w:ilvl w:val="0"/>
          <w:numId w:val="2"/>
        </w:numPr>
        <w:spacing w:after="80" w:line="300"/>
      </w:pPr>
      <w:r>
        <w:t xml:space="preserve"/>
      </w:r>
      <w:r>
        <w:rPr>
          <w:b/>
          <w:bCs/>
        </w:rPr>
        <w:t xml:space="preserve">Uso innovativo di nuove tecnologie</w:t>
      </w:r>
      <w:r>
        <w:t xml:space="preserve"> (IA generativa applicata alla programmazione di allenamento);</w:t>
      </w:r>
    </w:p>
    <w:p>
      <w:pPr>
        <w:pStyle w:val="ListParagraph"/>
        <w:numPr>
          <w:ilvl w:val="0"/>
          <w:numId w:val="2"/>
        </w:numPr>
        <w:spacing w:after="80" w:line="300"/>
      </w:pPr>
      <w:r>
        <w:t xml:space="preserve"/>
      </w:r>
      <w:r>
        <w:rPr>
          <w:b/>
          <w:bCs/>
        </w:rPr>
        <w:t xml:space="preserve">Trattamento su larga scala</w:t>
      </w:r>
      <w:r>
        <w:t xml:space="preserve"> al superamento di soglie utenti prevedibili.</w:t>
      </w:r>
    </w:p>
    <w:p>
      <w:pPr>
        <w:pStyle w:val="Heading1"/>
        <w:spacing w:after="120" w:before="300"/>
      </w:pPr>
      <w:r>
        <w:t xml:space="preserve">2. Descrizione sistematica del trattamento</w:t>
      </w:r>
    </w:p>
    <w:p>
      <w:pPr>
        <w:spacing w:after="140" w:line="300"/>
        <w:jc w:val="both"/>
      </w:pPr>
      <w:r>
        <w:t xml:space="preserve">La piattaforma raccoglie dati di allenamento, prestazioni, wellness (RPE, sonno, mood), parametri corporei e infortuni. Un modello di IA (proprietario e/o di terzi come </w:t>
      </w:r>
      <w:r>
        <w:rPr>
          <w:b/>
          <w:bCs/>
        </w:rPr>
        <w:t xml:space="preserve">[FORNITORE IA]</w:t>
      </w:r>
      <w:r>
        <w:t xml:space="preserve">) elabora tali dati per generare piani di allenamento, adattamenti e analisi di rendimento. I dati sono immessi dall'utente o da un allenatore delegato. L'accesso è protetto da autenticazione; per gli allenatori/società esiste un piano dedicato (contitolarità/responsabilità disciplinata da DPA).</w:t>
      </w:r>
    </w:p>
    <w:p>
      <w:pPr>
        <w:spacing w:after="140" w:line="300"/>
        <w:jc w:val="both"/>
      </w:pPr>
      <w:r>
        <w:t xml:space="preserve">Flussi principali: registrazione → consenso esplicito ai dati salute → immissione dati → elaborazione IA → visualizzazione output → azione dell'utente/allenatore. Tutti gli output IA sono etichettati come tali e soggetti a supervisione umana.</w:t>
      </w:r>
    </w:p>
    <w:p>
      <w:pPr>
        <w:pStyle w:val="Heading1"/>
        <w:spacing w:after="120" w:before="300"/>
      </w:pPr>
      <w:r>
        <w:t xml:space="preserve">3. Necessità e proporzionalità</w:t>
      </w:r>
    </w:p>
    <w:p>
      <w:pPr>
        <w:pStyle w:val="ListParagraph"/>
        <w:numPr>
          <w:ilvl w:val="0"/>
          <w:numId w:val="2"/>
        </w:numPr>
        <w:spacing w:after="80" w:line="300"/>
      </w:pPr>
      <w:r>
        <w:t xml:space="preserve"/>
      </w:r>
      <w:r>
        <w:rPr>
          <w:b/>
          <w:bCs/>
        </w:rPr>
        <w:t xml:space="preserve">Base giuridica adeguata</w:t>
      </w:r>
      <w:r>
        <w:t xml:space="preserve">: art. 9(2)(a) GDPR — consenso esplicito documentato per i dati salute; art. 6(1)(b) per l'esecuzione del contratto.</w:t>
      </w:r>
    </w:p>
    <w:p>
      <w:pPr>
        <w:pStyle w:val="ListParagraph"/>
        <w:numPr>
          <w:ilvl w:val="0"/>
          <w:numId w:val="2"/>
        </w:numPr>
        <w:spacing w:after="80" w:line="300"/>
      </w:pPr>
      <w:r>
        <w:t>Minimizzazione: raccolta limitata ai dati funzionali; parametri opzionali chiaramente indicati; possibilità di disattivare feature IA. Dal 21/09/2026 i dati identificativi degli atleti sono separati strutturalmente dai dati sanitari: nome, cognome, data di nascita, email e foto risiedono in una tabella dedicata, mentre infortuni, wellness e carichi sono collegati al solo identificativo tecnico. Per le finalita' di analisi e reportistica si opera su dati che non consentono di risalire alla persona senza un accesso ulteriore, riservato all'applicativo.</w:t>
      </w:r>
    </w:p>
    <w:p>
      <w:pPr>
        <w:pStyle w:val="ListParagraph"/>
        <w:numPr>
          <w:ilvl w:val="0"/>
          <w:numId w:val="2"/>
        </w:numPr>
        <w:spacing w:after="80" w:line="300"/>
      </w:pPr>
      <w:r>
        <w:t xml:space="preserve"/>
      </w:r>
      <w:r>
        <w:rPr>
          <w:b/>
          <w:bCs/>
        </w:rPr>
        <w:t xml:space="preserve">Trasparenza</w:t>
      </w:r>
      <w:r>
        <w:t xml:space="preserve">: informativa completa, TL;DR, avvisi in-app sull'IA (art. 50 AI Act).</w:t>
      </w:r>
    </w:p>
    <w:p>
      <w:pPr>
        <w:pStyle w:val="ListParagraph"/>
        <w:numPr>
          <w:ilvl w:val="0"/>
          <w:numId w:val="2"/>
        </w:numPr>
        <w:spacing w:after="80" w:line="300"/>
      </w:pPr>
      <w:r>
        <w:t xml:space="preserve"/>
      </w:r>
      <w:r>
        <w:rPr>
          <w:b/>
          <w:bCs/>
        </w:rPr>
        <w:t xml:space="preserve">Diritti</w:t>
      </w:r>
      <w:r>
        <w:t xml:space="preserve">: esercizio semplificato via impostazioni account (esportazione, cancellazione); revoca consenso in un click.</w:t>
      </w:r>
    </w:p>
    <w:p>
      <w:pPr>
        <w:pStyle w:val="ListParagraph"/>
        <w:numPr>
          <w:ilvl w:val="0"/>
          <w:numId w:val="2"/>
        </w:numPr>
        <w:spacing w:after="80" w:line="300"/>
      </w:pPr>
      <w:r>
        <w:t xml:space="preserve"/>
      </w:r>
      <w:r>
        <w:rPr>
          <w:b/>
          <w:bCs/>
        </w:rPr>
        <w:t xml:space="preserve">Trasferimenti</w:t>
      </w:r>
      <w:r>
        <w:t xml:space="preserve">: SCC/DPF con TIA per i fornitori extra-SEE.</w:t>
      </w:r>
    </w:p>
    <w:p>
      <w:pPr>
        <w:pStyle w:val="Heading1"/>
        <w:spacing w:after="120" w:before="300"/>
      </w:pPr>
      <w:r>
        <w:t xml:space="preserve">4. Rischi identificati e valutazione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100"/>
        <w:gridCol w:w="2500"/>
      </w:tblGrid>
      <w:tr>
        <w:trPr>
          <w:tblHeader/>
        </w:trPr>
        <w:tc>
          <w:tcPr>
            <w:tcW w:type="dxa" w:w="2600"/>
            <w:shd w:fill="E8EAF0" w:val="clear"/>
            <w:tcMar>
              <w:top w:type="dxa" w:w="80"/>
              <w:left w:type="dxa" w:w="120"/>
              <w:bottom w:type="dxa" w:w="80"/>
              <w:right w:type="dxa" w:w="120"/>
            </w:tcMar>
          </w:tcPr>
          <w:p>
            <w:pPr>
              <w:spacing w:line="260"/>
            </w:pPr>
            <w:r>
              <w:rPr>
                <w:b/>
                <w:bCs/>
                <w:sz w:val="19"/>
                <w:szCs w:val="19"/>
              </w:rPr>
              <w:t xml:space="preserve">Rischio</w:t>
            </w:r>
          </w:p>
        </w:tc>
        <w:tc>
          <w:tcPr>
            <w:tcW w:type="dxa" w:w="2100"/>
            <w:shd w:fill="E8EAF0" w:val="clear"/>
            <w:tcMar>
              <w:top w:type="dxa" w:w="80"/>
              <w:left w:type="dxa" w:w="120"/>
              <w:bottom w:type="dxa" w:w="80"/>
              <w:right w:type="dxa" w:w="120"/>
            </w:tcMar>
          </w:tcPr>
          <w:p>
            <w:pPr>
              <w:spacing w:line="260"/>
            </w:pPr>
            <w:r>
              <w:rPr>
                <w:b/>
                <w:bCs/>
                <w:sz w:val="19"/>
                <w:szCs w:val="19"/>
              </w:rPr>
              <w:t xml:space="preserve">Probabilità</w:t>
            </w:r>
          </w:p>
        </w:tc>
        <w:tc>
          <w:tcPr>
            <w:tcW w:type="dxa" w:w="2100"/>
            <w:shd w:fill="E8EAF0" w:val="clear"/>
            <w:tcMar>
              <w:top w:type="dxa" w:w="80"/>
              <w:left w:type="dxa" w:w="120"/>
              <w:bottom w:type="dxa" w:w="80"/>
              <w:right w:type="dxa" w:w="120"/>
            </w:tcMar>
          </w:tcPr>
          <w:p>
            <w:pPr>
              <w:spacing w:line="260"/>
            </w:pPr>
            <w:r>
              <w:rPr>
                <w:b/>
                <w:bCs/>
                <w:sz w:val="19"/>
                <w:szCs w:val="19"/>
              </w:rPr>
              <w:t xml:space="preserve">Gravità</w:t>
            </w:r>
          </w:p>
        </w:tc>
        <w:tc>
          <w:tcPr>
            <w:tcW w:type="dxa" w:w="2500"/>
            <w:shd w:fill="E8EAF0" w:val="clear"/>
            <w:tcMar>
              <w:top w:type="dxa" w:w="80"/>
              <w:left w:type="dxa" w:w="120"/>
              <w:bottom w:type="dxa" w:w="80"/>
              <w:right w:type="dxa" w:w="120"/>
            </w:tcMar>
          </w:tcPr>
          <w:p>
            <w:pPr>
              <w:spacing w:line="260"/>
            </w:pPr>
            <w:r>
              <w:rPr>
                <w:b/>
                <w:bCs/>
                <w:sz w:val="19"/>
                <w:szCs w:val="19"/>
              </w:rPr>
              <w:t xml:space="preserve">Mitigazioni chiave</w:t>
            </w:r>
          </w:p>
        </w:tc>
      </w:tr>
      <w:tr>
        <w:tc>
          <w:tcPr>
            <w:tcW w:type="dxa" w:w="2600"/>
            <w:tcMar>
              <w:top w:type="dxa" w:w="80"/>
              <w:left w:type="dxa" w:w="120"/>
              <w:bottom w:type="dxa" w:w="80"/>
              <w:right w:type="dxa" w:w="120"/>
            </w:tcMar>
          </w:tcPr>
          <w:p>
            <w:pPr>
              <w:spacing w:line="260"/>
            </w:pPr>
            <w:r>
              <w:rPr>
                <w:b w:val="false"/>
                <w:bCs w:val="false"/>
                <w:sz w:val="19"/>
                <w:szCs w:val="19"/>
              </w:rPr>
              <w:t xml:space="preserve">Accesso non autorizzato a dati salute (data breach)</w:t>
            </w:r>
          </w:p>
        </w:tc>
        <w:tc>
          <w:tcPr>
            <w:tcW w:type="dxa" w:w="2100"/>
            <w:tcMar>
              <w:top w:type="dxa" w:w="80"/>
              <w:left w:type="dxa" w:w="120"/>
              <w:bottom w:type="dxa" w:w="80"/>
              <w:right w:type="dxa" w:w="120"/>
            </w:tcMar>
          </w:tcPr>
          <w:p>
            <w:pPr>
              <w:spacing w:line="260"/>
            </w:pPr>
            <w:r>
              <w:rPr>
                <w:b w:val="false"/>
                <w:bCs w:val="false"/>
                <w:sz w:val="19"/>
                <w:szCs w:val="19"/>
              </w:rPr>
              <w:t xml:space="preserve">Media</w:t>
            </w:r>
          </w:p>
        </w:tc>
        <w:tc>
          <w:tcPr>
            <w:tcW w:type="dxa" w:w="2100"/>
            <w:tcMar>
              <w:top w:type="dxa" w:w="80"/>
              <w:left w:type="dxa" w:w="120"/>
              <w:bottom w:type="dxa" w:w="80"/>
              <w:right w:type="dxa" w:w="120"/>
            </w:tcMar>
          </w:tcPr>
          <w:p>
            <w:pPr>
              <w:spacing w:line="260"/>
            </w:pPr>
            <w:r>
              <w:rPr>
                <w:b w:val="false"/>
                <w:bCs w:val="false"/>
                <w:sz w:val="19"/>
                <w:szCs w:val="19"/>
              </w:rPr>
              <w:t xml:space="preserve">Alta</w:t>
            </w:r>
          </w:p>
        </w:tc>
        <w:tc>
          <w:tcPr>
            <w:tcW w:type="dxa" w:w="2500"/>
            <w:tcMar>
              <w:top w:type="dxa" w:w="80"/>
              <w:left w:type="dxa" w:w="120"/>
              <w:bottom w:type="dxa" w:w="80"/>
              <w:right w:type="dxa" w:w="120"/>
            </w:tcMar>
          </w:tcPr>
          <w:p>
            <w:pPr>
              <w:spacing w:line="260"/>
            </w:pPr>
            <w:r>
              <w:rPr>
                <w:b w:val="false"/>
                <w:bCs w:val="false"/>
                <w:sz w:val="19"/>
                <w:szCs w:val="19"/>
              </w:rPr>
              <w:t>MFA per staff; RBAC; audit; piano incident response con notifica 72h. Separazione strutturale delle identità (pseudonimizzazione ex art. 32(1)(a)), attiva dal 21/09/2026: i dati sanitari non contengono dati identificativi e il ruolo di reportistica non ha accesso alla tabella delle identità, per cui un accesso non autorizzato ai soli dati clinici non consente di per sé l'identificazione degli interessati. Backup del database cifrati (AES-256) e verificati automaticamente a ogni esecuzione. NON è presente cifratura a riposo a livello di volume: il fornitore hosting ha confermato per iscritto in data 22/09/2026 che tale funzionalità non è attiva per impostazione predefinita sul prodotto in uso e sarebbe a carico del Titolare. La cifratura applicativa delle colonne identificative è pianificata e non ancora attiva.</w:t>
            </w:r>
          </w:p>
        </w:tc>
      </w:tr>
      <w:tr>
        <w:tc>
          <w:tcPr>
            <w:tcW w:type="dxa" w:w="2600"/>
            <w:tcMar>
              <w:top w:type="dxa" w:w="80"/>
              <w:left w:type="dxa" w:w="120"/>
              <w:bottom w:type="dxa" w:w="80"/>
              <w:right w:type="dxa" w:w="120"/>
            </w:tcMar>
          </w:tcPr>
          <w:p>
            <w:pPr>
              <w:spacing w:line="260"/>
            </w:pPr>
            <w:r>
              <w:rPr>
                <w:b w:val="false"/>
                <w:bCs w:val="false"/>
                <w:sz w:val="19"/>
                <w:szCs w:val="19"/>
              </w:rPr>
              <w:t xml:space="preserve">Output IA inappropriati per la salute dell'utente</w:t>
            </w:r>
          </w:p>
        </w:tc>
        <w:tc>
          <w:tcPr>
            <w:tcW w:type="dxa" w:w="2100"/>
            <w:tcMar>
              <w:top w:type="dxa" w:w="80"/>
              <w:left w:type="dxa" w:w="120"/>
              <w:bottom w:type="dxa" w:w="80"/>
              <w:right w:type="dxa" w:w="120"/>
            </w:tcMar>
          </w:tcPr>
          <w:p>
            <w:pPr>
              <w:spacing w:line="260"/>
            </w:pPr>
            <w:r>
              <w:rPr>
                <w:b w:val="false"/>
                <w:bCs w:val="false"/>
                <w:sz w:val="19"/>
                <w:szCs w:val="19"/>
              </w:rPr>
              <w:t xml:space="preserve">Media</w:t>
            </w:r>
          </w:p>
        </w:tc>
        <w:tc>
          <w:tcPr>
            <w:tcW w:type="dxa" w:w="2100"/>
            <w:tcMar>
              <w:top w:type="dxa" w:w="80"/>
              <w:left w:type="dxa" w:w="120"/>
              <w:bottom w:type="dxa" w:w="80"/>
              <w:right w:type="dxa" w:w="120"/>
            </w:tcMar>
          </w:tcPr>
          <w:p>
            <w:pPr>
              <w:spacing w:line="260"/>
            </w:pPr>
            <w:r>
              <w:rPr>
                <w:b w:val="false"/>
                <w:bCs w:val="false"/>
                <w:sz w:val="19"/>
                <w:szCs w:val="19"/>
              </w:rPr>
              <w:t xml:space="preserve">Alta</w:t>
            </w:r>
          </w:p>
        </w:tc>
        <w:tc>
          <w:tcPr>
            <w:tcW w:type="dxa" w:w="2500"/>
            <w:tcMar>
              <w:top w:type="dxa" w:w="80"/>
              <w:left w:type="dxa" w:w="120"/>
              <w:bottom w:type="dxa" w:w="80"/>
              <w:right w:type="dxa" w:w="120"/>
            </w:tcMar>
          </w:tcPr>
          <w:p>
            <w:pPr>
              <w:spacing w:line="260"/>
            </w:pPr>
            <w:r>
              <w:rPr>
                <w:b w:val="false"/>
                <w:bCs w:val="false"/>
                <w:sz w:val="19"/>
                <w:szCs w:val="19"/>
              </w:rPr>
              <w:t xml:space="preserve">Etichetta AI-generated; disclaimer medico; supervisione umana; guardrail nei prompt; canale di segnalazione.</w:t>
            </w:r>
          </w:p>
        </w:tc>
      </w:tr>
      <w:tr>
        <w:tc>
          <w:tcPr>
            <w:tcW w:type="dxa" w:w="2600"/>
            <w:tcMar>
              <w:top w:type="dxa" w:w="80"/>
              <w:left w:type="dxa" w:w="120"/>
              <w:bottom w:type="dxa" w:w="80"/>
              <w:right w:type="dxa" w:w="120"/>
            </w:tcMar>
          </w:tcPr>
          <w:p>
            <w:pPr>
              <w:spacing w:line="260"/>
            </w:pPr>
            <w:r>
              <w:rPr>
                <w:b w:val="false"/>
                <w:bCs w:val="false"/>
                <w:sz w:val="19"/>
                <w:szCs w:val="19"/>
              </w:rPr>
              <w:t xml:space="preserve">Uso dei dati per training di modelli terzi</w:t>
            </w:r>
          </w:p>
        </w:tc>
        <w:tc>
          <w:tcPr>
            <w:tcW w:type="dxa" w:w="2100"/>
            <w:tcMar>
              <w:top w:type="dxa" w:w="80"/>
              <w:left w:type="dxa" w:w="120"/>
              <w:bottom w:type="dxa" w:w="80"/>
              <w:right w:type="dxa" w:w="120"/>
            </w:tcMar>
          </w:tcPr>
          <w:p>
            <w:pPr>
              <w:spacing w:line="260"/>
            </w:pPr>
            <w:r>
              <w:rPr>
                <w:b w:val="false"/>
                <w:bCs w:val="false"/>
                <w:sz w:val="19"/>
                <w:szCs w:val="19"/>
              </w:rPr>
              <w:t xml:space="preserve">Bassa</w:t>
            </w:r>
          </w:p>
        </w:tc>
        <w:tc>
          <w:tcPr>
            <w:tcW w:type="dxa" w:w="2100"/>
            <w:tcMar>
              <w:top w:type="dxa" w:w="80"/>
              <w:left w:type="dxa" w:w="120"/>
              <w:bottom w:type="dxa" w:w="80"/>
              <w:right w:type="dxa" w:w="120"/>
            </w:tcMar>
          </w:tcPr>
          <w:p>
            <w:pPr>
              <w:spacing w:line="260"/>
            </w:pPr>
            <w:r>
              <w:rPr>
                <w:b w:val="false"/>
                <w:bCs w:val="false"/>
                <w:sz w:val="19"/>
                <w:szCs w:val="19"/>
              </w:rPr>
              <w:t xml:space="preserve">Alta</w:t>
            </w:r>
          </w:p>
        </w:tc>
        <w:tc>
          <w:tcPr>
            <w:tcW w:type="dxa" w:w="2500"/>
            <w:tcMar>
              <w:top w:type="dxa" w:w="80"/>
              <w:left w:type="dxa" w:w="120"/>
              <w:bottom w:type="dxa" w:w="80"/>
              <w:right w:type="dxa" w:w="120"/>
            </w:tcMar>
          </w:tcPr>
          <w:p>
            <w:pPr>
              <w:spacing w:line="260"/>
            </w:pPr>
            <w:r>
              <w:rPr>
                <w:b w:val="false"/>
                <w:bCs w:val="false"/>
                <w:sz w:val="19"/>
                <w:szCs w:val="19"/>
              </w:rPr>
              <w:t xml:space="preserve">Divieto contrattuale nei DPA con provider IA; pseudonimizzazione; audit periodici.</w:t>
            </w:r>
          </w:p>
        </w:tc>
      </w:tr>
      <w:tr>
        <w:tc>
          <w:tcPr>
            <w:tcW w:type="dxa" w:w="2600"/>
            <w:tcMar>
              <w:top w:type="dxa" w:w="80"/>
              <w:left w:type="dxa" w:w="120"/>
              <w:bottom w:type="dxa" w:w="80"/>
              <w:right w:type="dxa" w:w="120"/>
            </w:tcMar>
          </w:tcPr>
          <w:p>
            <w:pPr>
              <w:spacing w:line="260"/>
            </w:pPr>
            <w:r>
              <w:rPr>
                <w:b w:val="false"/>
                <w:bCs w:val="false"/>
                <w:sz w:val="19"/>
                <w:szCs w:val="19"/>
              </w:rPr>
              <w:t xml:space="preserve">Trattamento di minori senza valido consenso</w:t>
            </w:r>
          </w:p>
        </w:tc>
        <w:tc>
          <w:tcPr>
            <w:tcW w:type="dxa" w:w="2100"/>
            <w:tcMar>
              <w:top w:type="dxa" w:w="80"/>
              <w:left w:type="dxa" w:w="120"/>
              <w:bottom w:type="dxa" w:w="80"/>
              <w:right w:type="dxa" w:w="120"/>
            </w:tcMar>
          </w:tcPr>
          <w:p>
            <w:pPr>
              <w:spacing w:line="260"/>
            </w:pPr>
            <w:r>
              <w:rPr>
                <w:b w:val="false"/>
                <w:bCs w:val="false"/>
                <w:sz w:val="19"/>
                <w:szCs w:val="19"/>
              </w:rPr>
              <w:t xml:space="preserve">Media</w:t>
            </w:r>
          </w:p>
        </w:tc>
        <w:tc>
          <w:tcPr>
            <w:tcW w:type="dxa" w:w="2100"/>
            <w:tcMar>
              <w:top w:type="dxa" w:w="80"/>
              <w:left w:type="dxa" w:w="120"/>
              <w:bottom w:type="dxa" w:w="80"/>
              <w:right w:type="dxa" w:w="120"/>
            </w:tcMar>
          </w:tcPr>
          <w:p>
            <w:pPr>
              <w:spacing w:line="260"/>
            </w:pPr>
            <w:r>
              <w:rPr>
                <w:b w:val="false"/>
                <w:bCs w:val="false"/>
                <w:sz w:val="19"/>
                <w:szCs w:val="19"/>
              </w:rPr>
              <w:t xml:space="preserve">Alta</w:t>
            </w:r>
          </w:p>
        </w:tc>
        <w:tc>
          <w:tcPr>
            <w:tcW w:type="dxa" w:w="2500"/>
            <w:tcMar>
              <w:top w:type="dxa" w:w="80"/>
              <w:left w:type="dxa" w:w="120"/>
              <w:bottom w:type="dxa" w:w="80"/>
              <w:right w:type="dxa" w:w="120"/>
            </w:tcMar>
          </w:tcPr>
          <w:p>
            <w:pPr>
              <w:spacing w:line="260"/>
            </w:pPr>
            <w:r>
              <w:rPr>
                <w:b w:val="false"/>
                <w:bCs w:val="false"/>
                <w:sz w:val="19"/>
                <w:szCs w:val="19"/>
              </w:rPr>
              <w:t xml:space="preserve">Data di nascita obbligatoria al signup; gate 14+; modulo consenso genitoriale; verifica documento identità del genitore.</w:t>
            </w:r>
          </w:p>
        </w:tc>
      </w:tr>
      <w:tr>
        <w:tc>
          <w:tcPr>
            <w:tcW w:type="dxa" w:w="2600"/>
            <w:tcMar>
              <w:top w:type="dxa" w:w="80"/>
              <w:left w:type="dxa" w:w="120"/>
              <w:bottom w:type="dxa" w:w="80"/>
              <w:right w:type="dxa" w:w="120"/>
            </w:tcMar>
          </w:tcPr>
          <w:p>
            <w:pPr>
              <w:spacing w:line="260"/>
            </w:pPr>
            <w:r>
              <w:rPr>
                <w:b w:val="false"/>
                <w:bCs w:val="false"/>
                <w:sz w:val="19"/>
                <w:szCs w:val="19"/>
              </w:rPr>
              <w:t xml:space="preserve">Profilazione con effetti discriminatori</w:t>
            </w:r>
          </w:p>
        </w:tc>
        <w:tc>
          <w:tcPr>
            <w:tcW w:type="dxa" w:w="2100"/>
            <w:tcMar>
              <w:top w:type="dxa" w:w="80"/>
              <w:left w:type="dxa" w:w="120"/>
              <w:bottom w:type="dxa" w:w="80"/>
              <w:right w:type="dxa" w:w="120"/>
            </w:tcMar>
          </w:tcPr>
          <w:p>
            <w:pPr>
              <w:spacing w:line="260"/>
            </w:pPr>
            <w:r>
              <w:rPr>
                <w:b w:val="false"/>
                <w:bCs w:val="false"/>
                <w:sz w:val="19"/>
                <w:szCs w:val="19"/>
              </w:rPr>
              <w:t xml:space="preserve">Bassa</w:t>
            </w:r>
          </w:p>
        </w:tc>
        <w:tc>
          <w:tcPr>
            <w:tcW w:type="dxa" w:w="2100"/>
            <w:tcMar>
              <w:top w:type="dxa" w:w="80"/>
              <w:left w:type="dxa" w:w="120"/>
              <w:bottom w:type="dxa" w:w="80"/>
              <w:right w:type="dxa" w:w="120"/>
            </w:tcMar>
          </w:tcPr>
          <w:p>
            <w:pPr>
              <w:spacing w:line="260"/>
            </w:pPr>
            <w:r>
              <w:rPr>
                <w:b w:val="false"/>
                <w:bCs w:val="false"/>
                <w:sz w:val="19"/>
                <w:szCs w:val="19"/>
              </w:rPr>
              <w:t xml:space="preserve">Media</w:t>
            </w:r>
          </w:p>
        </w:tc>
        <w:tc>
          <w:tcPr>
            <w:tcW w:type="dxa" w:w="2500"/>
            <w:tcMar>
              <w:top w:type="dxa" w:w="80"/>
              <w:left w:type="dxa" w:w="120"/>
              <w:bottom w:type="dxa" w:w="80"/>
              <w:right w:type="dxa" w:w="120"/>
            </w:tcMar>
          </w:tcPr>
          <w:p>
            <w:pPr>
              <w:spacing w:line="260"/>
            </w:pPr>
            <w:r>
              <w:rPr>
                <w:b w:val="false"/>
                <w:bCs w:val="false"/>
                <w:sz w:val="19"/>
                <w:szCs w:val="19"/>
              </w:rPr>
              <w:t xml:space="preserve">Nessuna decisione solo automatizzata; possibilità di revisione umana; test di equità sugli output.</w:t>
            </w:r>
          </w:p>
        </w:tc>
      </w:tr>
      <w:tr>
        <w:tc>
          <w:tcPr>
            <w:tcW w:type="dxa" w:w="2600"/>
            <w:tcMar>
              <w:top w:type="dxa" w:w="80"/>
              <w:left w:type="dxa" w:w="120"/>
              <w:bottom w:type="dxa" w:w="80"/>
              <w:right w:type="dxa" w:w="120"/>
            </w:tcMar>
          </w:tcPr>
          <w:p>
            <w:pPr>
              <w:spacing w:line="260"/>
            </w:pPr>
            <w:r>
              <w:rPr>
                <w:b w:val="false"/>
                <w:bCs w:val="false"/>
                <w:sz w:val="19"/>
                <w:szCs w:val="19"/>
              </w:rPr>
              <w:t xml:space="preserve">Trasferimento extra-SEE non conforme</w:t>
            </w:r>
          </w:p>
        </w:tc>
        <w:tc>
          <w:tcPr>
            <w:tcW w:type="dxa" w:w="2100"/>
            <w:tcMar>
              <w:top w:type="dxa" w:w="80"/>
              <w:left w:type="dxa" w:w="120"/>
              <w:bottom w:type="dxa" w:w="80"/>
              <w:right w:type="dxa" w:w="120"/>
            </w:tcMar>
          </w:tcPr>
          <w:p>
            <w:pPr>
              <w:spacing w:line="260"/>
            </w:pPr>
            <w:r>
              <w:rPr>
                <w:b w:val="false"/>
                <w:bCs w:val="false"/>
                <w:sz w:val="19"/>
                <w:szCs w:val="19"/>
              </w:rPr>
              <w:t xml:space="preserve">Media</w:t>
            </w:r>
          </w:p>
        </w:tc>
        <w:tc>
          <w:tcPr>
            <w:tcW w:type="dxa" w:w="2100"/>
            <w:tcMar>
              <w:top w:type="dxa" w:w="80"/>
              <w:left w:type="dxa" w:w="120"/>
              <w:bottom w:type="dxa" w:w="80"/>
              <w:right w:type="dxa" w:w="120"/>
            </w:tcMar>
          </w:tcPr>
          <w:p>
            <w:pPr>
              <w:spacing w:line="260"/>
            </w:pPr>
            <w:r>
              <w:rPr>
                <w:b w:val="false"/>
                <w:bCs w:val="false"/>
                <w:sz w:val="19"/>
                <w:szCs w:val="19"/>
              </w:rPr>
              <w:t xml:space="preserve">Media</w:t>
            </w:r>
          </w:p>
        </w:tc>
        <w:tc>
          <w:tcPr>
            <w:tcW w:type="dxa" w:w="2500"/>
            <w:tcMar>
              <w:top w:type="dxa" w:w="80"/>
              <w:left w:type="dxa" w:w="120"/>
              <w:bottom w:type="dxa" w:w="80"/>
              <w:right w:type="dxa" w:w="120"/>
            </w:tcMar>
          </w:tcPr>
          <w:p>
            <w:pPr>
              <w:spacing w:line="260"/>
            </w:pPr>
            <w:r>
              <w:rPr>
                <w:b w:val="false"/>
                <w:bCs w:val="false"/>
                <w:sz w:val="19"/>
                <w:szCs w:val="19"/>
              </w:rPr>
              <w:t xml:space="preserve">DPF/SCC + TIA; mappa dei flussi; misure supplementari (cifratura, pseudonimizzazione).</w:t>
            </w:r>
          </w:p>
        </w:tc>
      </w:tr>
      <w:tr>
        <w:tc>
          <w:tcPr>
            <w:tcW w:type="dxa" w:w="2600"/>
            <w:tcMar>
              <w:top w:type="dxa" w:w="80"/>
              <w:left w:type="dxa" w:w="120"/>
              <w:bottom w:type="dxa" w:w="80"/>
              <w:right w:type="dxa" w:w="120"/>
            </w:tcMar>
          </w:tcPr>
          <w:p>
            <w:pPr>
              <w:spacing w:line="260"/>
            </w:pPr>
            <w:r>
              <w:rPr>
                <w:b w:val="false"/>
                <w:bCs w:val="false"/>
                <w:sz w:val="19"/>
                <w:szCs w:val="19"/>
              </w:rPr>
              <w:t xml:space="preserve">Perdita di disponibilità dei dati</w:t>
            </w:r>
          </w:p>
        </w:tc>
        <w:tc>
          <w:tcPr>
            <w:tcW w:type="dxa" w:w="2100"/>
            <w:tcMar>
              <w:top w:type="dxa" w:w="80"/>
              <w:left w:type="dxa" w:w="120"/>
              <w:bottom w:type="dxa" w:w="80"/>
              <w:right w:type="dxa" w:w="120"/>
            </w:tcMar>
          </w:tcPr>
          <w:p>
            <w:pPr>
              <w:spacing w:line="260"/>
            </w:pPr>
            <w:r>
              <w:rPr>
                <w:b w:val="false"/>
                <w:bCs w:val="false"/>
                <w:sz w:val="19"/>
                <w:szCs w:val="19"/>
              </w:rPr>
              <w:t xml:space="preserve">Bassa</w:t>
            </w:r>
          </w:p>
        </w:tc>
        <w:tc>
          <w:tcPr>
            <w:tcW w:type="dxa" w:w="2100"/>
            <w:tcMar>
              <w:top w:type="dxa" w:w="80"/>
              <w:left w:type="dxa" w:w="120"/>
              <w:bottom w:type="dxa" w:w="80"/>
              <w:right w:type="dxa" w:w="120"/>
            </w:tcMar>
          </w:tcPr>
          <w:p>
            <w:pPr>
              <w:spacing w:line="260"/>
            </w:pPr>
            <w:r>
              <w:rPr>
                <w:b w:val="false"/>
                <w:bCs w:val="false"/>
                <w:sz w:val="19"/>
                <w:szCs w:val="19"/>
              </w:rPr>
              <w:t xml:space="preserve">Media</w:t>
            </w:r>
          </w:p>
        </w:tc>
        <w:tc>
          <w:tcPr>
            <w:tcW w:type="dxa" w:w="2500"/>
            <w:tcMar>
              <w:top w:type="dxa" w:w="80"/>
              <w:left w:type="dxa" w:w="120"/>
              <w:bottom w:type="dxa" w:w="80"/>
              <w:right w:type="dxa" w:w="120"/>
            </w:tcMar>
          </w:tcPr>
          <w:p>
            <w:pPr>
              <w:spacing w:line="260"/>
            </w:pPr>
            <w:r>
              <w:rPr>
                <w:b w:val="false"/>
                <w:bCs w:val="false"/>
                <w:sz w:val="19"/>
                <w:szCs w:val="19"/>
              </w:rPr>
              <w:t>Backup automatico notturno cifrato, con verifica di integrità e di leggibilità a ogni esecuzione e conservazione di 14 copie; rotazione. Copia fuori dal server a cura del Titolare, attualmente manuale. Prova di ripristino completo non ancora eseguita.</w:t>
            </w:r>
          </w:p>
        </w:tc>
      </w:tr>
      <w:tr>
        <w:tc>
          <w:tcPr>
            <w:tcW w:type="dxa" w:w="2600"/>
            <w:tcMar>
              <w:top w:type="dxa" w:w="80"/>
              <w:left w:type="dxa" w:w="120"/>
              <w:bottom w:type="dxa" w:w="80"/>
              <w:right w:type="dxa" w:w="120"/>
            </w:tcMar>
          </w:tcPr>
          <w:p>
            <w:pPr>
              <w:spacing w:line="260"/>
            </w:pPr>
            <w:r>
              <w:rPr>
                <w:b w:val="false"/>
                <w:bCs w:val="false"/>
                <w:sz w:val="19"/>
                <w:szCs w:val="19"/>
              </w:rPr>
              <w:t xml:space="preserve">Uso improprio da parte del coach/società</w:t>
            </w:r>
          </w:p>
        </w:tc>
        <w:tc>
          <w:tcPr>
            <w:tcW w:type="dxa" w:w="2100"/>
            <w:tcMar>
              <w:top w:type="dxa" w:w="80"/>
              <w:left w:type="dxa" w:w="120"/>
              <w:bottom w:type="dxa" w:w="80"/>
              <w:right w:type="dxa" w:w="120"/>
            </w:tcMar>
          </w:tcPr>
          <w:p>
            <w:pPr>
              <w:spacing w:line="260"/>
            </w:pPr>
            <w:r>
              <w:rPr>
                <w:b w:val="false"/>
                <w:bCs w:val="false"/>
                <w:sz w:val="19"/>
                <w:szCs w:val="19"/>
              </w:rPr>
              <w:t xml:space="preserve">Media</w:t>
            </w:r>
          </w:p>
        </w:tc>
        <w:tc>
          <w:tcPr>
            <w:tcW w:type="dxa" w:w="2100"/>
            <w:tcMar>
              <w:top w:type="dxa" w:w="80"/>
              <w:left w:type="dxa" w:w="120"/>
              <w:bottom w:type="dxa" w:w="80"/>
              <w:right w:type="dxa" w:w="120"/>
            </w:tcMar>
          </w:tcPr>
          <w:p>
            <w:pPr>
              <w:spacing w:line="260"/>
            </w:pPr>
            <w:r>
              <w:rPr>
                <w:b w:val="false"/>
                <w:bCs w:val="false"/>
                <w:sz w:val="19"/>
                <w:szCs w:val="19"/>
              </w:rPr>
              <w:t xml:space="preserve">Media</w:t>
            </w:r>
          </w:p>
        </w:tc>
        <w:tc>
          <w:tcPr>
            <w:tcW w:type="dxa" w:w="2500"/>
            <w:tcMar>
              <w:top w:type="dxa" w:w="80"/>
              <w:left w:type="dxa" w:w="120"/>
              <w:bottom w:type="dxa" w:w="80"/>
              <w:right w:type="dxa" w:w="120"/>
            </w:tcMar>
          </w:tcPr>
          <w:p>
            <w:pPr>
              <w:spacing w:line="260"/>
            </w:pPr>
            <w:r>
              <w:rPr>
                <w:b w:val="false"/>
                <w:bCs w:val="false"/>
                <w:sz w:val="19"/>
                <w:szCs w:val="19"/>
              </w:rPr>
              <w:t xml:space="preserve">DPA ex art. 28 con obblighi vincolanti; log accessi; AUP; policy sanzionatoria.</w:t>
            </w:r>
          </w:p>
        </w:tc>
      </w:tr>
    </w:tbl>
    <w:p>
      <w:pPr>
        <w:spacing w:after="140"/>
      </w:pPr>
    </w:p>
    <w:p>
      <w:pPr>
        <w:pStyle w:val="Heading1"/>
        <w:spacing w:after="120" w:before="300"/>
      </w:pPr>
      <w:r>
        <w:t xml:space="preserve">5. Rischio residuo e consultazione preventiva</w:t>
      </w:r>
    </w:p>
    <w:p>
      <w:pPr>
        <w:spacing w:after="140" w:line="300"/>
        <w:jc w:val="both"/>
      </w:pPr>
      <w:r>
        <w:t xml:space="preserve">Applicate le mitigazioni sopra indicate, il rischio residuo è valutato </w:t>
      </w:r>
      <w:r>
        <w:rPr>
          <w:b/>
          <w:bCs/>
        </w:rPr>
        <w:t xml:space="preserve">BASSO/MEDIO</w:t>
      </w:r>
      <w:r>
        <w:t xml:space="preserve"> e non richiede consultazione preventiva del Garante ex art. 36 GDPR. La valutazione sarà riesaminata: (i) prima del lancio delle funzionalità di IA generativa aggiuntive; (ii) al superamento di soglie utenti significative; (iii) in caso di modifiche sostanziali; (iv) annualmente.</w:t>
      </w:r>
    </w:p>
    <w:p>
      <w:pPr>
        <w:spacing w:after="140" w:line="300"/>
        <w:jc w:val="both"/>
      </w:pPr>
      <w:r>
        <w:t>Aggiornamento del 21 settembre 2026: è stata introdotta in produzione la separazione strutturale delle identità degli atleti e la de-identificazione dei prompt inviati ai fornitori di modelli IA. La misura incide sui rischi R1 (accesso non autorizzato a dati salute) e R3 (uso dei dati per training di modelli terzi); la rivalutazione dei rispettivi livelli di probabilità e gravità è rimessa al Titolare in sede di prossimo riesame. Resta fermo che i dati pseudonimizzati restano dati personali ai sensi del Considerando 26 GDPR e che la misura non sostituisce le altre garanzie qui documentate.</w:t>
      </w:r>
    </w:p>
    <w:p>
      <w:pPr>
        <w:spacing w:after="140" w:line="300"/>
        <w:jc w:val="both"/>
      </w:pPr>
      <w:r>
        <w:t>Precisazione del 22 settembre 2026: a seguito di richiesta scritta, il fornitore hosting ha confermato che i volumi del VPS non sono cifrati a riposo per impostazione predefinita. La precedente menzione della cifratura a riposo fra le mitigazioni del rischio R1 è stata pertanto rimossa e sostituita con le misure effettivamente in essere. Ne consegue che, allo stato, la riservatezza dei dati identificativi rispetto a un accesso a livello di supporto di memorizzazione è affidata alla sola separazione strutturale delle identità: circostanza che eleva la priorità della cifratura applicativa delle colonne identificative.</w:t>
      </w:r>
    </w:p>
    <w:p>
      <w:pPr>
        <w:pStyle w:val="Heading1"/>
        <w:spacing w:after="120" w:before="300"/>
      </w:pPr>
      <w:r>
        <w:t xml:space="preserve">6. Documentazione e revisione</w:t>
      </w:r>
    </w:p>
    <w:p>
      <w:pPr>
        <w:spacing w:after="140" w:line="300"/>
        <w:jc w:val="both"/>
      </w:pPr>
      <w:r>
        <w:t xml:space="preserve">La presente DPIA è approvata dal Titolare in data </w:t>
      </w:r>
      <w:r>
        <w:rPr>
          <w:b/>
          <w:bCs/>
        </w:rPr>
        <w:t xml:space="preserve">[DATA]</w:t>
      </w:r>
      <w:r>
        <w:t xml:space="preserve">, con il coinvolgimento del DPO (ove designato) e del responsabile tecnico. La documentazione (registro trattamenti, DPA, TIA, piano di risposta agli incidenti, esiti dei test di sicurezza) è archiviata in </w:t>
      </w:r>
      <w:r>
        <w:rPr>
          <w:b/>
          <w:bCs/>
        </w:rPr>
        <w:t xml:space="preserve">[LUOGO ARCHIVIO INTERNO]</w:t>
      </w:r>
      <w:r>
        <w:t xml:space="preserve"> ed è disponibile in caso di ispezione.</w:t>
      </w:r>
    </w:p>
    <w:p>
      <w:pPr>
        <w:pStyle w:val="Heading1"/>
        <w:spacing w:after="120" w:before="300"/>
      </w:pPr>
      <w:r>
        <w:t xml:space="preserve">Firma e approvazione</w:t>
      </w:r>
    </w:p>
    <w:p>
      <w:pPr>
        <w:pStyle w:val="ListParagraph"/>
        <w:numPr>
          <w:ilvl w:val="0"/>
          <w:numId w:val="2"/>
        </w:numPr>
        <w:spacing w:after="80" w:line="300"/>
      </w:pPr>
      <w:r>
        <w:t xml:space="preserve">Titolare (rappresentante legale): __________________________________  Data: __________</w:t>
      </w:r>
    </w:p>
    <w:p>
      <w:pPr>
        <w:pStyle w:val="ListParagraph"/>
        <w:numPr>
          <w:ilvl w:val="0"/>
          <w:numId w:val="2"/>
        </w:numPr>
        <w:spacing w:after="80" w:line="300"/>
      </w:pPr>
      <w:r>
        <w:t xml:space="preserve">DPO (se designato): __________________________________  Data: __________</w:t>
      </w:r>
    </w:p>
    <w:p>
      <w:pPr>
        <w:pStyle w:val="ListParagraph"/>
        <w:numPr>
          <w:ilvl w:val="0"/>
          <w:numId w:val="2"/>
        </w:numPr>
        <w:spacing w:after="80" w:line="300"/>
      </w:pPr>
      <w:r>
        <w:t xml:space="preserve">Responsabile tecnico/sicurezza: __________________________________  Data: __________</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rFonts w:ascii="Calibri" w:cs="Calibri" w:eastAsia="Calibri" w:hAnsi="Calibri"/>
      <w:b/>
      <w:bCs/>
      <w:color w:val="1F2A44"/>
      <w:sz w:val="40"/>
      <w:szCs w:val="40"/>
    </w:rPr>
  </w:style>
  <w:style w:type="paragraph" w:styleId="Heading1">
    <w:name w:val="Heading 1"/>
    <w:basedOn w:val="Normal"/>
    <w:next w:val="Normal"/>
    <w:qFormat/>
    <w:rPr>
      <w:rFonts w:ascii="Calibri" w:cs="Calibri" w:eastAsia="Calibri" w:hAnsi="Calibri"/>
      <w:b/>
      <w:bCs/>
      <w:color w:val="2E3A59"/>
      <w:sz w:val="26"/>
      <w:szCs w:val="26"/>
    </w:rPr>
  </w:style>
  <w:style w:type="paragraph" w:styleId="Heading2">
    <w:name w:val="Heading 2"/>
    <w:basedOn w:val="Normal"/>
    <w:next w:val="Normal"/>
    <w:qFormat/>
    <w:rPr>
      <w:rFonts w:ascii="Calibri" w:cs="Calibri" w:eastAsia="Calibri" w:hAnsi="Calibri"/>
      <w:b/>
      <w:bCs/>
      <w:color w:val="3D4E73"/>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2026-07-22T13:13:43.726Z</dcterms:created>
  <dcterms:modified xsi:type="dcterms:W3CDTF">2026-07-22T13:13:43.726Z</dcterms:modified>
</cp:coreProperties>
</file>

<file path=docProps/custom.xml><?xml version="1.0" encoding="utf-8"?>
<Properties xmlns="http://schemas.openxmlformats.org/officeDocument/2006/custom-properties" xmlns:vt="http://schemas.openxmlformats.org/officeDocument/2006/docPropsVTypes"/>
</file>