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A6B8C"/>
          <w:sz w:val="22"/>
          <w:szCs w:val="22"/>
        </w:rPr>
        <w:t xml:space="preserve">TrainMind AI</w:t>
      </w:r>
    </w:p>
    <w:p>
      <w:pPr>
        <w:pStyle w:val="Title"/>
        <w:spacing w:after="100"/>
      </w:pPr>
      <w:r>
        <w:rPr>
          <w:b/>
          <w:bCs/>
        </w:rPr>
        <w:t xml:space="preserve">Politica di uso accettabile (AUP)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Ultimo aggiornamento: 21 luglio 2026 · Versione 1.0</w:t>
      </w:r>
    </w:p>
    <w:p>
      <w:pPr>
        <w:pBdr>
          <w:bottom w:val="single" w:color="2E3A59" w:sz="6"/>
        </w:pBdr>
        <w:spacing w:after="260"/>
      </w:pPr>
    </w:p>
    <w:p>
      <w:pPr>
        <w:spacing w:after="140" w:line="300"/>
        <w:jc w:val="both"/>
      </w:pPr>
      <w:r>
        <w:t xml:space="preserve">La presente Politica di uso accettabile ("</w:t>
      </w:r>
      <w:r>
        <w:rPr>
          <w:b/>
          <w:bCs/>
        </w:rPr>
        <w:t xml:space="preserve">AUP</w:t>
      </w:r>
      <w:r>
        <w:t xml:space="preserve">") integra i Termini di Servizio di TrainMind AI e ne fa parte integrante. Il mancato rispetto dell'AUP costituisce violazione sostanziale dei Termini e legittima </w:t>
      </w:r>
      <w:r>
        <w:rPr>
          <w:b/>
          <w:bCs/>
        </w:rPr>
        <w:t xml:space="preserve">[RAGIONE SOCIALE / NOME TITOLARE]</w:t>
      </w:r>
      <w:r>
        <w:t xml:space="preserve"> ("</w:t>
      </w:r>
      <w:r>
        <w:rPr>
          <w:b/>
          <w:bCs/>
        </w:rPr>
        <w:t xml:space="preserve">Fornitore</w:t>
      </w:r>
      <w:r>
        <w:t xml:space="preserve">") a sospendere o chiudere l'account.</w:t>
      </w:r>
    </w:p>
    <w:p>
      <w:pPr>
        <w:pStyle w:val="Heading1"/>
        <w:spacing w:after="120" w:before="300"/>
      </w:pPr>
      <w:r>
        <w:t xml:space="preserve">1. Condotte vietate</w:t>
      </w:r>
    </w:p>
    <w:p>
      <w:pPr>
        <w:spacing w:after="140" w:line="300"/>
        <w:jc w:val="both"/>
      </w:pPr>
      <w:r>
        <w:t xml:space="preserve">Non è consentito utilizzare il Servizio per: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Attività illecite</w:t>
      </w:r>
      <w:r>
        <w:t xml:space="preserve">: attività contrarie a norme di legge, regolamentari o all'ordine pubblico, incluso ma non limitato a frode, riciclaggio, violazione di sanzioni internazionali.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Contenuti illeciti</w:t>
      </w:r>
      <w:r>
        <w:t xml:space="preserve">: caricare, condividere o generare contenuti pedopornografici, di sfruttamento sessuale, di apologia della violenza o del terrorismo, di incitamento all'odio razziale, etnico, religioso o basato su altre caratteristiche protette.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Diritti di terzi</w:t>
      </w:r>
      <w:r>
        <w:t xml:space="preserve">: violare diritti di proprietà intellettuale, diritti alla privacy, diritti all'immagine, obblighi di riservatezza.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Doping e pratiche pericolose</w:t>
      </w:r>
      <w:r>
        <w:t xml:space="preserve">: raccomandare, incoraggiare o registrare pratiche di doping (sostanze o metodi vietati dal Codice WADA), regimi alimentari estremi, uso di sostanze pericolose, o eludere controlli antidoping.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Salute</w:t>
      </w:r>
      <w:r>
        <w:t xml:space="preserve">: fornire ad altri utenti (in particolare atleti collegati al proprio account) piani o consigli che, per intensità o modalità, possano ragionevolmente causare danni.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Sicurezza</w:t>
      </w:r>
      <w:r>
        <w:t xml:space="preserve">: tentare di accedere ad account altrui; superare o disabilitare misure di sicurezza; effettuare scansioni di vulnerabilità non autorizzate; introdurre malware, virus, trojan; effettuare attacchi DoS/DDoS.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Integrità del Servizio</w:t>
      </w:r>
      <w:r>
        <w:t xml:space="preserve">: fare scraping massivo, reverse engineering, estrazione automatizzata di dati o modelli; utilizzare bot non autorizzati; interferire con il funzionamento della piattaforma.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Utilizzo dei modelli IA</w:t>
      </w:r>
      <w:r>
        <w:t xml:space="preserve">: usare gli output della piattaforma per addestrare modelli IA di terzi o sviluppare prodotti concorrenti; utilizzare il Servizio per generare contenuti disinformativi, deepfake dannosi, o per pratiche vietate dall'art. 5 dell'AI Act.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Uso non consentito dell'account</w:t>
      </w:r>
      <w:r>
        <w:t xml:space="preserve">: rivendere l'accesso, condividere credenziali con più persone, aprire account multipli per aggirare limiti dei piani gratuiti.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Comunicazioni indesiderate</w:t>
      </w:r>
      <w:r>
        <w:t xml:space="preserve">: usare il Servizio per inviare spam, phishing, catene di email o comunicazioni commerciali non autorizzate.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Comportamenti abusivi</w:t>
      </w:r>
      <w:r>
        <w:t xml:space="preserve">: molestare, minacciare, discriminare o intimidire altri utenti; impersonare altre persone.</w:t>
      </w:r>
    </w:p>
    <w:p>
      <w:pPr>
        <w:pStyle w:val="Heading1"/>
        <w:spacing w:after="120" w:before="300"/>
      </w:pPr>
      <w:r>
        <w:t xml:space="preserve">2. Utenti minorenni</w:t>
      </w:r>
    </w:p>
    <w:p>
      <w:pPr>
        <w:spacing w:after="140" w:line="300"/>
        <w:jc w:val="both"/>
      </w:pPr>
      <w:r>
        <w:t xml:space="preserve">È vietato caricare contenuti che sessualizzino, mettano a rischio o consentano l'identificazione non consensuale di minori. I coach e le società sportive sono tenuti a raccogliere il consenso genitoriale prima di collegare atleti minorenni ai propri account, utilizzando il modulo di consenso genitori fornito dal Fornitore.</w:t>
      </w:r>
    </w:p>
    <w:p>
      <w:pPr>
        <w:pStyle w:val="Heading1"/>
        <w:spacing w:after="120" w:before="300"/>
      </w:pPr>
      <w:r>
        <w:t xml:space="preserve">3. Segnalazioni</w:t>
      </w:r>
    </w:p>
    <w:p>
      <w:pPr>
        <w:spacing w:after="140" w:line="300"/>
        <w:jc w:val="both"/>
      </w:pPr>
      <w:r>
        <w:t xml:space="preserve">Chiunque può segnalare contenuti o condotte che ritenga in violazione dell'AUP scrivendo a </w:t>
      </w:r>
      <w:r>
        <w:rPr>
          <w:b/>
          <w:bCs/>
        </w:rPr>
        <w:t xml:space="preserve">[EMAIL DI CONTATTO]</w:t>
      </w:r>
      <w:r>
        <w:t xml:space="preserve">. Le segnalazioni saranno gestite in modo tempestivo e imparziale, conformemente al Digital Services Act (Reg. UE 2022/2065). Il segnalante riceverà riscontro sull'esito.</w:t>
      </w:r>
    </w:p>
    <w:p>
      <w:pPr>
        <w:pStyle w:val="Heading1"/>
        <w:spacing w:after="120" w:before="300"/>
      </w:pPr>
      <w:r>
        <w:t xml:space="preserve">4. Enforcement</w:t>
      </w:r>
    </w:p>
    <w:p>
      <w:pPr>
        <w:spacing w:after="140" w:line="300"/>
        <w:jc w:val="both"/>
      </w:pPr>
      <w:r>
        <w:t xml:space="preserve">Il Fornitore può, a fronte di sospetta violazione: (i) inviare avvisi; (ii) rimuovere o limitare la visibilità dei contenuti; (iii) sospendere temporaneamente l'account; (iv) chiudere l'account con perdita di eventuali crediti; (v) segnalare le condotte alle autorità competenti. Le misure sono proporzionate alla gravità della violazione. Per le violazioni gravi (illeciti, contenuti illegali), l'intervento è immediato e senza preavviso.</w:t>
      </w:r>
    </w:p>
    <w:p>
      <w:pPr>
        <w:pStyle w:val="Heading1"/>
        <w:spacing w:after="120" w:before="300"/>
      </w:pPr>
      <w:r>
        <w:t xml:space="preserve">5. Ricorso interno</w:t>
      </w:r>
    </w:p>
    <w:p>
      <w:pPr>
        <w:spacing w:after="140" w:line="300"/>
        <w:jc w:val="both"/>
      </w:pPr>
      <w:r>
        <w:t xml:space="preserve">Gli utenti oggetto di misure possono richiedere il riesame scrivendo a </w:t>
      </w:r>
      <w:r>
        <w:rPr>
          <w:b/>
          <w:bCs/>
        </w:rPr>
        <w:t xml:space="preserve">[EMAIL DI CONTATTO]</w:t>
      </w:r>
      <w:r>
        <w:t xml:space="preserve"> entro 30 giorni dalla comunicazione, indicando le proprie osservazioni. Il Fornitore risponde entro 15 giorni lavorativi. Il ricorso è gratuito e non pregiudica il diritto degli utenti UE di rivolgersi agli organismi di risoluzione extragiudiziale delle controversie previsti dal DSA.</w:t>
      </w:r>
    </w:p>
    <w:p>
      <w:pPr>
        <w:pStyle w:val="Heading1"/>
        <w:spacing w:after="120" w:before="300"/>
      </w:pPr>
      <w:r>
        <w:t xml:space="preserve">6. Modifiche</w:t>
      </w:r>
    </w:p>
    <w:p>
      <w:pPr>
        <w:spacing w:after="140" w:line="300"/>
        <w:jc w:val="both"/>
      </w:pPr>
      <w:r>
        <w:t xml:space="preserve">La presente AUP può essere aggiornata; le modifiche saranno comunicate almeno 15 giorni prima dell'efficacia.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3A5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D4E73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2026-07-21T14:36:40.634Z</dcterms:created>
  <dcterms:modified xsi:type="dcterms:W3CDTF">2026-07-21T14:36:40.634Z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