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Registro delle attività di trattamento (art. 30 GDPR)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>Ultimo aggiornamento: 22 settembre 2026 · Versione 1.3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Registro tenuto da </w:t>
      </w:r>
      <w:r>
        <w:rPr>
          <w:b/>
          <w:bCs/>
        </w:rPr>
        <w:t xml:space="preserve">[RAGIONE SOCIALE / NOME TITOLARE]</w:t>
      </w:r>
      <w:r>
        <w:t xml:space="preserve"> in qualità di </w:t>
      </w:r>
      <w:r>
        <w:rPr>
          <w:b/>
          <w:bCs/>
        </w:rPr>
        <w:t xml:space="preserve">Titolare del trattamento</w:t>
      </w:r>
      <w:r>
        <w:t xml:space="preserve">, ai sensi dell'art. 30, par. 1, del Regolamento (UE) 2016/679 ("GDPR"). Il registro è aggiornato al 21 luglio 2026 · Versione 1.0 e viene riesaminato almeno annualmente e in occasione di modifiche sostanziali.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Titolare</w:t>
      </w:r>
      <w:r>
        <w:t xml:space="preserve">: </w:t>
      </w:r>
      <w:r>
        <w:rPr>
          <w:b/>
          <w:bCs/>
        </w:rPr>
        <w:t xml:space="preserve">[RAGIONE SOCIALE / NOME TITOLARE]</w:t>
      </w:r>
      <w:r>
        <w:t xml:space="preserve"> — sede: </w:t>
      </w:r>
      <w:r>
        <w:rPr>
          <w:b/>
          <w:bCs/>
        </w:rPr>
        <w:t xml:space="preserve">[SEDE LEGALE]</w:t>
      </w:r>
      <w:r>
        <w:t xml:space="preserve"> — contatto: </w:t>
      </w:r>
      <w:r>
        <w:rPr>
          <w:b/>
          <w:bCs/>
        </w:rPr>
        <w:t xml:space="preserve">[EMAIL DI CONTATTO]</w:t>
      </w:r>
      <w:r>
        <w:t xml:space="preserve"> — privacy: </w:t>
      </w:r>
      <w:r>
        <w:rPr>
          <w:b/>
          <w:bCs/>
        </w:rPr>
        <w:t xml:space="preserve">[EMAIL PRIVACY]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DPO: </w:t>
      </w:r>
      <w:r>
        <w:rPr>
          <w:b/>
          <w:bCs/>
        </w:rPr>
        <w:t xml:space="preserve">[nominativo e recapiti se designato — v. documento "Valutazione obbligo DPO"]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Rappresentante nell'UE: N/A (titolare stabilito in UE)</w:t>
      </w:r>
    </w:p>
    <w:p>
      <w:pPr>
        <w:pStyle w:val="Heading1"/>
        <w:spacing w:after="120" w:before="300"/>
      </w:pPr>
      <w:r>
        <w:t xml:space="preserve">T1 · Gestione account utenti e prestazione del Servizio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Creazione e gestione dell'account utente; autenticazione; erogazione della piattaforma TrainMind AI (pianificazione, monitoraggio, sincronizzazione dispositivi).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Utenti registrati (atleti, allenatori, staff società); rappresentanti legali di minori.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identificativi (nome, cognome), email, hash password, data di nascita, ruolo, sport, lingua, informazioni di profilo, log di accesso, IP, user-agent.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6(1)(b) GDPR — esecuzione del contratto.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destinatari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Provider hosting: IONOS SE — prodotto «IONOS VPS Linux L+», contratto n. 112969652, attivo dal 14/07/2026, server ospitato nel data center di Berlino (Germania). L'accordo sul trattamento dei dati ex art. 28 GDPR è parte integrante delle Condizioni generali di contratto IONOS per i contratti stipulati dal 19/07/2022, quindi non è richiesto un accordo separato (copia delle condizioni archiviata in legal/). Provider email transazionale; personale interno autorizzato.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Trasferimenti extra-SEE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Nessuno sistematico. L'infrastruttura di hosting è interamente nell'Unione Europea (Berlino, Germania). Eventuali servizi statunitensi via DPF/SCC.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Durata dell'account; cancellazione o anonimizzazione entro 30 giorni dalla chiusura; log di sicurezza fino a 12 mesi; backup fino a 90 giorni.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TLS 1.2+, hashing password (bcrypt/Argon2), RBAC, MFA per il personale, logging, backup cifrati, segregazione ambienti. Dal 21/09/2026 nome e cognome degli utenti staff sono conservati in una tabella distinta (user_identities) rispetto alle credenziali e ai dati operativi dell'account.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T2 · Dati sanitari e di fitness (art. 9 GDPR)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Registrazione allenamenti, prestazioni, parametri corporei; generazione di piani e analisi mediante IA; monitoraggio wellness e infortuni.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Atleti utilizzatori del Servizio (maggiorenni e minorenni 14+ con consenso genitoriale).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salute e fitness (categorie particolari): allenamenti, RPE, HR, peso, sonno, mood, infortuni, note antropometriche.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9(2)(a) GDPR — consenso esplicito. Consenso separato registrato in ConsentRecord con versione, lingua e IP.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destinatari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 hosting, provider di modelli IA (come responsabili ex art. 28), allenatore/staff scelto dall'atleta.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Trasferimenti extra-SEE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Provider IA: DPF/SCC. Dal 21/09/2026 i dati sanitari elaborati dal fornitore del modello sono privi di dati identificativi diretti (v. T3).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Fino alla revoca del consenso o cancellazione account; poi cancellazione o anonimizzazione irreversibile.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Separazione strutturale delle identità (misura di pseudonimizzazione ex art. 32(1)(a) GDPR), attiva dal 21/09/2026: nome, cognome, data di nascita, email e foto degli atleti sono conservati in una tabella distinta (athlete_identities); tutti i dati sanitari e di carico sono collegati al solo identificativo tecnico dell'atleta. Il ruolo di sola lettura usato per analisi e reportistica non ha alcun privilegio sulla tabella delle identità (assenza del privilegio SELECT verificata in produzione il 21/09/2026): chi interroga il database con quel ruolo vede i dati sanitari senza poterli ricondurre a una persona. Controlli di accesso più restrittivi; DPIA condotta (v. documento separato); logging degli accessi; backup cifrati. I volumi del server NON sono cifrati a riposo a livello di infrastruttura: il fornitore hosting lo ha confermato per iscritto il 22/09/2026, precisando che la funzionalità non è predefinita e sarebbe a carico del Titolare. La cifratura applicativa delle cinque voci identificative è pianificata e non ancora attiva.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T3 · Elaborazione IA (prompt e output)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Generazione di suggerimenti di allenamento e analisi tramite modelli di IA; sicurezza e miglioramento del Servizio.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Utenti registrati.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Prompt inviati all'IA (possono contenere dati identificativi e di salute), output, metadati tecnici, ID account.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6(1)(b) contratto per la funzionalità; Art. 9(2)(a) consenso esplicito ove trattati dati di salute.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destinatari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 IA come responsabili ex art. 28 GDPR (</w:t>
            </w:r>
            <w:r>
              <w:rPr>
                <w:b/>
                <w:bCs/>
                <w:sz w:val="19"/>
                <w:szCs w:val="19"/>
              </w:rPr>
              <w:t xml:space="preserve">[FORNITORE IA]</w:t>
            </w:r>
            <w:r>
              <w:rPr>
                <w:b w:val="false"/>
                <w:bCs w:val="false"/>
                <w:sz w:val="19"/>
                <w:szCs w:val="19"/>
              </w:rPr>
              <w:t xml:space="preserve">). Divieto contrattuale di uso per training del modello del terzo.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Trasferimenti extra-SEE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Eventuali provider US: DPF (se certificato) o SCC con TIA.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Durata account; comunque max 24 mesi per prompt/output nei nostri sistemi; presso il provider secondo il contratto (di norma ≤ 30 giorni).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Pseudonimizzazione prima dell'invio, attiva dal 21/09/2026 su tutti i percorsi automatici verso i fornitori di modelli IA (assistente, coach e riassunto automatico dei report): il contenuto inviato è costruito dal Titolare e identifica ogni atleta con uno pseudonimo valido per la singola richiesta (A1, A2, ...); sono sostituiti anche il nome dell'atleta selezionato e quello dell'operatore che genera il report. La corrispondenza fra pseudonimo e persona non lascia l'infrastruttura del Titolare e viene ricostruita solo nella risposta mostrata all'utente. Resta esclusa dal meccanismo, per sua natura, la parte di testo che l'utente digita liberamente nella chat: la circostanza è dichiarata nell'informativa. Canali cifrati; log audit (che registrano il numero di pseudonimi emessi, mai i nomi); supervisione umana degli output.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T4 · Fatturazione e pagamenti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abbonamenti, incassi, fatturazione elettronica.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Utenti paganti (persone fisiche o rappresentanti di persone giuridiche).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Piano, storico transazioni, ultimi 4 cifre carta, indirizzo di fatturazione, P.IVA/CF.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6(1)(b) contratto; Art. 6(1)(c) obblighi fiscali (D.P.R. 633/1972, D.lgs. 127/2015 e s.m.i.).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destinatari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Stripe (responsabile); consulente contabile; SdI/Agenzia delle Entrate.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Trasferimenti extra-SEE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Stripe: DPF/SCC.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anni (art. 2220 c.c. e obblighi fiscali).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Nessuna memorizzazione di PAN completo; tokenizzazione tramite Stripe; accessi limitati al personale amministrativo.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T5 · Comunicazioni di marketing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Newsletter, aggiornamenti prodotto, offerte promozionali, sondaggi.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Utenti che hanno prestato consenso specifico.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Nome, email, preferenze, tracciamento apertura/click.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6(1)(a) — consenso.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destinatari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 email marketing come responsabile.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Fino a revoca del consenso o inattività 24 mesi.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 di disiscrizione in ogni email; centro preferenze; log consenso e revoca.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T6 · Sicurezza e log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Prevenzione frodi/abusi; monitoraggio sicurezza; resilienza; difesa in giudizio.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Utenti; visitatori del sito.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IP, user-agent, timestamp, eventi di sicurezza, tentativi di login falliti.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6(1)(f) — legittimo interesse alla sicurezza e continuità del Servizio (LIA effettuata).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12 mesi (rotazione).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Accesso limitato al personale sicurezza; log immutabili; alerting automatizzato.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T7 · Richieste degli interessati e adempimenti privacy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delle richieste di esercizio dei diritti (artt. 15–22 GDPR); notifiche di data breach; adempimenti verso il Garante.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necessari all'identificazione dell'interessato e al riscontro della richiesta.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6(1)(c) obbligo legale; Art. 9(2)(f) esercizio/difesa di diritti in sede giudiziaria ove pertinente.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Fascicolo pratica per 5 anni salvo contenzioso.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Revisioni</w:t>
      </w:r>
    </w:p>
    <w:p>
      <w:pPr>
        <w:spacing w:after="140" w:line="300"/>
        <w:jc w:val="both"/>
      </w:pPr>
      <w:r>
        <w:t>Il presente Registro è approvato dal Titolare in data [DATA]. Prossima revisione programmata: entro 12 mesi. Le modifiche sono tracciate nel changelog interno.</w:t>
      </w:r>
    </w:p>
    <w:p>
      <w:pPr>
        <w:spacing w:after="140" w:line="300"/>
        <w:jc w:val="both"/>
      </w:pPr>
      <w:r>
        <w:t>Versione 1.2 — 22 settembre 2026. Identificato con precisione il fornitore hosting (IONOS VPS Linux L+, contratto 112969652, data center Berlino) e la base dell'accordo art. 28. Versione 1.1 del 21 settembre 2026: aggiornate le misure di sicurezza di T1, T2 e T3 dopo l'introduzione in produzione della separazione strutturale delle identità e della de-identificazione dei prompt IA su tutti i percorsi automatici.</w:t>
      </w:r>
    </w:p>
    <w:p>
      <w:pPr>
        <w:spacing w:after="140" w:line="300"/>
        <w:jc w:val="both"/>
      </w:pPr>
      <w:r>
        <w:t>Versione 1.3 — 22 settembre 2026. Rimossa ogni affermazione di cifratura a riposo a livello di volume, a seguito di conferma scritta del fornitore hosting che tale misura non è attiva.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2026-07-22T13:13:43.469Z</dcterms:created>
  <dcterms:modified xsi:type="dcterms:W3CDTF">2026-07-22T13:13:43.490Z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