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A6B8C"/>
          <w:sz w:val="22"/>
          <w:szCs w:val="22"/>
        </w:rPr>
        <w:t xml:space="preserve">TrainMind AI</w:t>
      </w:r>
    </w:p>
    <w:p>
      <w:pPr>
        <w:pStyle w:val="Title"/>
        <w:spacing w:after="100"/>
      </w:pPr>
      <w:r>
        <w:rPr>
          <w:b/>
          <w:bCs/>
        </w:rPr>
        <w:t xml:space="preserve">Registro delle attività di trattamento (art. 30 GDPR)</w:t>
      </w:r>
    </w:p>
    <w:p>
      <w:pPr>
        <w:spacing w:after="60"/>
      </w:pPr>
      <w:r>
        <w:rPr>
          <w:i/>
          <w:iCs/>
          <w:color w:val="666666"/>
          <w:sz w:val="20"/>
          <w:szCs w:val="20"/>
        </w:rPr>
        <w:t>Ultimo aggiornamento: 22 settembre 2026 · Versione 1.2</w:t>
      </w:r>
    </w:p>
    <w:p>
      <w:pPr>
        <w:pBdr>
          <w:bottom w:val="single" w:color="2E3A59" w:sz="6"/>
        </w:pBdr>
        <w:spacing w:after="260"/>
      </w:pPr>
    </w:p>
    <w:p>
      <w:pPr>
        <w:spacing w:after="140" w:line="300"/>
        <w:jc w:val="both"/>
      </w:pPr>
      <w:r>
        <w:t xml:space="preserve">Registro tenuto da </w:t>
      </w:r>
      <w:r>
        <w:rPr>
          <w:b/>
          <w:bCs/>
        </w:rPr>
        <w:t xml:space="preserve">[RAGIONE SOCIALE / NOME TITOLARE]</w:t>
      </w:r>
      <w:r>
        <w:t xml:space="preserve"> in qualità di </w:t>
      </w:r>
      <w:r>
        <w:rPr>
          <w:b/>
          <w:bCs/>
        </w:rPr>
        <w:t xml:space="preserve">Titolare del trattamento</w:t>
      </w:r>
      <w:r>
        <w:t xml:space="preserve">, ai sensi dell'art. 30, par. 1, del Regolamento (UE) 2016/679 ("GDPR"). Il registro è aggiornato al 21 luglio 2026 · Versione 1.0 e viene riesaminato almeno annualmente e in occasione di modifiche sostanziali.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Titolare</w:t>
      </w:r>
      <w:r>
        <w:t xml:space="preserve">: </w:t>
      </w:r>
      <w:r>
        <w:rPr>
          <w:b/>
          <w:bCs/>
        </w:rPr>
        <w:t xml:space="preserve">[RAGIONE SOCIALE / NOME TITOLARE]</w:t>
      </w:r>
      <w:r>
        <w:t xml:space="preserve"> — sede: </w:t>
      </w:r>
      <w:r>
        <w:rPr>
          <w:b/>
          <w:bCs/>
        </w:rPr>
        <w:t xml:space="preserve">[SEDE LEGALE]</w:t>
      </w:r>
      <w:r>
        <w:t xml:space="preserve"> — contatto: </w:t>
      </w:r>
      <w:r>
        <w:rPr>
          <w:b/>
          <w:bCs/>
        </w:rPr>
        <w:t xml:space="preserve">[EMAIL DI CONTATTO]</w:t>
      </w:r>
      <w:r>
        <w:t xml:space="preserve"> — privacy: </w:t>
      </w:r>
      <w:r>
        <w:rPr>
          <w:b/>
          <w:bCs/>
        </w:rPr>
        <w:t xml:space="preserve">[EMAIL PRIVACY]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DPO: </w:t>
      </w:r>
      <w:r>
        <w:rPr>
          <w:b/>
          <w:bCs/>
        </w:rPr>
        <w:t xml:space="preserve">[nominativo e recapiti se designato — v. documento "Valutazione obbligo DPO"]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Rappresentante nell'UE: N/A (titolare stabilito in UE)</w:t>
      </w:r>
    </w:p>
    <w:p>
      <w:pPr>
        <w:pStyle w:val="Heading1"/>
        <w:spacing w:after="120" w:before="300"/>
      </w:pPr>
      <w:r>
        <w:t xml:space="preserve">T1 · Gestione account utenti e prestazione del Servizio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Creazione e gestione dell'account utente; autenticazione; erogazione della piattaforma TrainMind AI (pianificazione, monitoraggio, sincronizzazione dispositivi).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Utenti registrati (atleti, allenatori, staff società); rappresentanti legali di minori.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identificativi (nome, cognome), email, hash password, data di nascita, ruolo, sport, lingua, informazioni di profilo, log di accesso, IP, user-agent.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6(1)(b) GDPR — esecuzione del contratto.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destinatari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>Provider hosting: IONOS SE — prodotto «IONOS VPS Linux L+», contratto n. 112969652, attivo dal 14/07/2026, server ospitato nel data center di Berlino (Germania). L'accordo sul trattamento dei dati ex art. 28 GDPR è parte integrante delle Condizioni generali di contratto IONOS per i contratti stipulati dal 19/07/2022, quindi non è richiesto un accordo separato (copia delle condizioni archiviata in legal/). Provider email transazionale; personale interno autorizzato.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Trasferimenti extra-SEE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>Nessuno sistematico. L'infrastruttura di hosting è interamente nell'Unione Europea (Berlino, Germania). Eventuali servizi statunitensi via DPF/SCC.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Durata dell'account; cancellazione o anonimizzazione entro 30 giorni dalla chiusura; log di sicurezza fino a 12 mesi; backup fino a 90 giorni.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>TLS 1.2+, hashing password (bcrypt/Argon2), RBAC, MFA per il personale, logging, backup cifrati, segregazione ambienti. Dal 21/09/2026 nome e cognome degli utenti staff sono conservati in una tabella distinta (user_identities) rispetto alle credenziali e ai dati operativi dell'account.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T2 · Dati sanitari e di fitness (art. 9 GDPR)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Registrazione allenamenti, prestazioni, parametri corporei; generazione di piani e analisi mediante IA; monitoraggio wellness e infortuni.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Atleti utilizzatori del Servizio (maggiorenni e minorenni 14+ con consenso genitoriale).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salute e fitness (categorie particolari): allenamenti, RPE, HR, peso, sonno, mood, infortuni, note antropometriche.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9(2)(a) GDPR — consenso esplicito. Consenso separato registrato in ConsentRecord con versione, lingua e IP.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destinatari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Provider hosting, provider di modelli IA (come responsabili ex art. 28), allenatore/staff scelto dall'atleta.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Trasferimenti extra-SEE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>Provider IA: DPF/SCC. Dal 21/09/2026 i dati sanitari elaborati dal fornitore del modello sono privi di dati identificativi diretti (v. T3).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Fino alla revoca del consenso o cancellazione account; poi cancellazione o anonimizzazione irreversibile.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>Separazione strutturale delle identità (misura di pseudonimizzazione ex art. 32(1)(a) GDPR), attiva dal 21/09/2026: nome, cognome, data di nascita, email e foto degli atleti sono conservati in una tabella distinta (athlete_identities); tutti i dati sanitari e di carico sono collegati al solo identificativo tecnico dell'atleta. Il ruolo di sola lettura usato per analisi e reportistica non ha alcun privilegio sulla tabella delle identità (assenza del privilegio SELECT verificata in produzione il 21/09/2026): chi interroga il database con quel ruolo vede i dati sanitari senza poterli ricondurre a una persona. Controlli di accesso più restrittivi; DPIA condotta (v. documento separato); logging degli accessi; backup cifrati. La cifratura a riposo a livello di singola colonna sulle cinque voci identificative è pianificata e non ancora attiva.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T3 · Elaborazione IA (prompt e output)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Generazione di suggerimenti di allenamento e analisi tramite modelli di IA; sicurezza e miglioramento del Servizio.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Utenti registrati.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Prompt inviati all'IA (possono contenere dati identificativi e di salute), output, metadati tecnici, ID account.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6(1)(b) contratto per la funzionalità; Art. 9(2)(a) consenso esplicito ove trattati dati di salute.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destinatari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Provider IA come responsabili ex art. 28 GDPR (</w:t>
            </w:r>
            <w:r>
              <w:rPr>
                <w:b/>
                <w:bCs/>
                <w:sz w:val="19"/>
                <w:szCs w:val="19"/>
              </w:rPr>
              <w:t xml:space="preserve">[FORNITORE IA]</w:t>
            </w:r>
            <w:r>
              <w:rPr>
                <w:b w:val="false"/>
                <w:bCs w:val="false"/>
                <w:sz w:val="19"/>
                <w:szCs w:val="19"/>
              </w:rPr>
              <w:t xml:space="preserve">). Divieto contrattuale di uso per training del modello del terzo.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Trasferimenti extra-SEE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Eventuali provider US: DPF (se certificato) o SCC con TIA.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Durata account; comunque max 24 mesi per prompt/output nei nostri sistemi; presso il provider secondo il contratto (di norma ≤ 30 giorni).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>Pseudonimizzazione prima dell'invio, attiva dal 21/09/2026 su tutti i percorsi automatici verso i fornitori di modelli IA (assistente, coach e riassunto automatico dei report): il contenuto inviato è costruito dal Titolare e identifica ogni atleta con uno pseudonimo valido per la singola richiesta (A1, A2, ...); sono sostituiti anche il nome dell'atleta selezionato e quello dell'operatore che genera il report. La corrispondenza fra pseudonimo e persona non lascia l'infrastruttura del Titolare e viene ricostruita solo nella risposta mostrata all'utente. Resta esclusa dal meccanismo, per sua natura, la parte di testo che l'utente digita liberamente nella chat: la circostanza è dichiarata nell'informativa. Canali cifrati; log audit (che registrano il numero di pseudonimi emessi, mai i nomi); supervisione umana degli output.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T4 · Fatturazione e pagamenti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Gestione abbonamenti, incassi, fatturazione elettronica.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Utenti paganti (persone fisiche o rappresentanti di persone giuridiche).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Piano, storico transazioni, ultimi 4 cifre carta, indirizzo di fatturazione, P.IVA/CF.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6(1)(b) contratto; Art. 6(1)(c) obblighi fiscali (D.P.R. 633/1972, D.lgs. 127/2015 e s.m.i.).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destinatari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Stripe (responsabile); consulente contabile; SdI/Agenzia delle Entrate.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Trasferimenti extra-SEE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Stripe: DPF/SCC.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 anni (art. 2220 c.c. e obblighi fiscali).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Nessuna memorizzazione di PAN completo; tokenizzazione tramite Stripe; accessi limitati al personale amministrativo.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T5 · Comunicazioni di marketing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Newsletter, aggiornamenti prodotto, offerte promozionali, sondaggi.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Utenti che hanno prestato consenso specifico.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email, preferenze, tracciamento apertura/click.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6(1)(a) — consenso.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destinatari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Provider email marketing come responsabile.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Fino a revoca del consenso o inattività 24 mesi.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Link di disiscrizione in ogni email; centro preferenze; log consenso e revoca.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T6 · Sicurezza e log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Prevenzione frodi/abusi; monitoraggio sicurezza; resilienza; difesa in giudizio.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Utenti; visitatori del sito.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IP, user-agent, timestamp, eventi di sicurezza, tentativi di login falliti.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6(1)(f) — legittimo interesse alla sicurezza e continuità del Servizio (LIA effettuata).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Max 12 mesi (rotazione).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Accesso limitato al personale sicurezza; log immutabili; alerting automatizzato.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T7 · Richieste degli interessati e adempimenti privacy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Gestione delle richieste di esercizio dei diritti (artt. 15–22 GDPR); notifiche di data breach; adempimenti verso il Garante.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necessari all'identificazione dell'interessato e al riscontro della richiesta.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6(1)(c) obbligo legale; Art. 9(2)(f) esercizio/difesa di diritti in sede giudiziaria ove pertinente.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Fascicolo pratica per 5 anni salvo contenzioso.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Revisioni</w:t>
      </w:r>
    </w:p>
    <w:p>
      <w:pPr>
        <w:spacing w:after="140" w:line="300"/>
        <w:jc w:val="both"/>
      </w:pPr>
      <w:r>
        <w:t>Il presente Registro è approvato dal Titolare in data [DATA]. Prossima revisione programmata: entro 12 mesi. Le modifiche sono tracciate nel changelog interno.</w:t>
      </w:r>
    </w:p>
    <w:p>
      <w:pPr>
        <w:spacing w:after="140" w:line="300"/>
        <w:jc w:val="both"/>
      </w:pPr>
      <w:r>
        <w:t>Versione 1.2 — 22 settembre 2026. Identificato con precisione il fornitore hosting (IONOS VPS Linux L+, contratto 112969652, data center Berlino) e la base dell'accordo art. 28. Versione 1.1 del 21 settembre 2026: aggiornate le misure di sicurezza di T1, T2 e T3 dopo l'introduzione in produzione della separazione strutturale delle identità e della de-identificazione dei prompt IA su tutti i percorsi automatici.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F2A44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2E3A59"/>
      <w:sz w:val="26"/>
      <w:szCs w:val="26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D4E73"/>
      <w:sz w:val="23"/>
      <w:szCs w:val="23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2026-07-22T13:13:43.469Z</dcterms:created>
  <dcterms:modified xsi:type="dcterms:W3CDTF">2026-07-22T13:13:43.490Z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