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A6B8C"/>
          <w:sz w:val="22"/>
          <w:szCs w:val="22"/>
        </w:rPr>
        <w:t xml:space="preserve">TrainMind AI</w:t>
      </w:r>
    </w:p>
    <w:p>
      <w:pPr>
        <w:pStyle w:val="Title"/>
        <w:spacing w:after="100"/>
      </w:pPr>
      <w:r>
        <w:rPr>
          <w:b/>
          <w:bCs/>
        </w:rPr>
        <w:t xml:space="preserve">Cookie Policy</w:t>
      </w:r>
    </w:p>
    <w:p>
      <w:pPr>
        <w:spacing w:after="60"/>
      </w:pPr>
      <w:r>
        <w:rPr>
          <w:i/>
          <w:iCs/>
          <w:color w:val="666666"/>
          <w:sz w:val="20"/>
          <w:szCs w:val="20"/>
        </w:rPr>
        <w:t xml:space="preserve">Last updated: 17 July 2026</w:t>
      </w:r>
    </w:p>
    <w:p>
      <w:pPr>
        <w:pBdr>
          <w:bottom w:val="single" w:color="2E3A59" w:sz="6"/>
        </w:pBdr>
        <w:spacing w:after="260"/>
      </w:pPr>
    </w:p>
    <w:p>
      <w:pPr>
        <w:spacing w:after="140" w:line="300"/>
        <w:jc w:val="both"/>
      </w:pPr>
      <w:r>
        <w:t xml:space="preserve">This Cookie Policy explains how </w:t>
      </w:r>
      <w:r>
        <w:rPr>
          <w:b/>
          <w:bCs/>
        </w:rPr>
        <w:t xml:space="preserve">[COMPANY NAME / OWNER NAME]</w:t>
      </w:r>
      <w:r>
        <w:t xml:space="preserve"> (the "</w:t>
      </w:r>
      <w:r>
        <w:rPr>
          <w:b/>
          <w:bCs/>
        </w:rPr>
        <w:t xml:space="preserve">Controller</w:t>
      </w:r>
      <w:r>
        <w:t xml:space="preserve">") uses cookies and similar technologies (local storage, pixels, SDKs) on the TrainMind AI website and applications, in accordance with the GDPR, the Italian ePrivacy rules (Art. 122, Legislative Decree 196/2003) and the Italian Data Protection Authority’s Guidelines on cookies of 10 June 2021.</w:t>
      </w:r>
    </w:p>
    <w:p>
      <w:pPr>
        <w:pStyle w:val="Heading1"/>
        <w:spacing w:after="120" w:before="300"/>
      </w:pPr>
      <w:r>
        <w:t xml:space="preserve">1. What cookies are</w:t>
      </w:r>
    </w:p>
    <w:p>
      <w:pPr>
        <w:spacing w:after="140" w:line="300"/>
        <w:jc w:val="both"/>
      </w:pPr>
      <w:r>
        <w:t xml:space="preserve">Cookies are small text files that websites place on your device to store information. Similar technologies (such as localStorage or tracking pixels) serve comparable purposes; this Policy covers them all under the term "cookies".</w:t>
      </w:r>
    </w:p>
    <w:p>
      <w:pPr>
        <w:pStyle w:val="Heading1"/>
        <w:spacing w:after="120" w:before="300"/>
      </w:pPr>
      <w:r>
        <w:t xml:space="preserve">2. Categories used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2700"/>
      </w:tblGrid>
      <w:tr>
        <w:trPr>
          <w:tblHeader/>
        </w:trPr>
        <w:tc>
          <w:tcPr>
            <w:tcW w:type="dxa" w:w="2200"/>
            <w:shd w:fill="E8EAF0" w:val="clear"/>
            <w:tcMar>
              <w:top w:type="dxa" w:w="80"/>
              <w:left w:type="dxa" w:w="120"/>
              <w:bottom w:type="dxa" w:w="80"/>
              <w:right w:type="dxa" w:w="120"/>
            </w:tcMar>
          </w:tcPr>
          <w:p>
            <w:pPr>
              <w:spacing w:line="260"/>
            </w:pPr>
            <w:r>
              <w:rPr>
                <w:b/>
                <w:bCs/>
                <w:sz w:val="19"/>
                <w:szCs w:val="19"/>
              </w:rPr>
              <w:t xml:space="preserve">Category</w:t>
            </w:r>
          </w:p>
        </w:tc>
        <w:tc>
          <w:tcPr>
            <w:tcW w:type="dxa" w:w="4400"/>
            <w:shd w:fill="E8EAF0" w:val="clear"/>
            <w:tcMar>
              <w:top w:type="dxa" w:w="80"/>
              <w:left w:type="dxa" w:w="120"/>
              <w:bottom w:type="dxa" w:w="80"/>
              <w:right w:type="dxa" w:w="120"/>
            </w:tcMar>
          </w:tcPr>
          <w:p>
            <w:pPr>
              <w:spacing w:line="260"/>
            </w:pPr>
            <w:r>
              <w:rPr>
                <w:b/>
                <w:bCs/>
                <w:sz w:val="19"/>
                <w:szCs w:val="19"/>
              </w:rPr>
              <w:t xml:space="preserve">Purpose</w:t>
            </w:r>
          </w:p>
        </w:tc>
        <w:tc>
          <w:tcPr>
            <w:tcW w:type="dxa" w:w="2700"/>
            <w:shd w:fill="E8EAF0" w:val="clear"/>
            <w:tcMar>
              <w:top w:type="dxa" w:w="80"/>
              <w:left w:type="dxa" w:w="120"/>
              <w:bottom w:type="dxa" w:w="80"/>
              <w:right w:type="dxa" w:w="120"/>
            </w:tcMar>
          </w:tcPr>
          <w:p>
            <w:pPr>
              <w:spacing w:line="260"/>
            </w:pPr>
            <w:r>
              <w:rPr>
                <w:b/>
                <w:bCs/>
                <w:sz w:val="19"/>
                <w:szCs w:val="19"/>
              </w:rPr>
              <w:t xml:space="preserve">Legal basis</w:t>
            </w:r>
          </w:p>
        </w:tc>
      </w:tr>
      <w:tr>
        <w:tc>
          <w:tcPr>
            <w:tcW w:type="dxa" w:w="2200"/>
            <w:tcMar>
              <w:top w:type="dxa" w:w="80"/>
              <w:left w:type="dxa" w:w="120"/>
              <w:bottom w:type="dxa" w:w="80"/>
              <w:right w:type="dxa" w:w="120"/>
            </w:tcMar>
          </w:tcPr>
          <w:p>
            <w:pPr>
              <w:spacing w:line="260"/>
            </w:pPr>
            <w:r>
              <w:rPr>
                <w:b w:val="false"/>
                <w:bCs w:val="false"/>
                <w:sz w:val="19"/>
                <w:szCs w:val="19"/>
              </w:rPr>
              <w:t xml:space="preserve">Technical / strictly necessary</w:t>
            </w:r>
          </w:p>
        </w:tc>
        <w:tc>
          <w:tcPr>
            <w:tcW w:type="dxa" w:w="4400"/>
            <w:tcMar>
              <w:top w:type="dxa" w:w="80"/>
              <w:left w:type="dxa" w:w="120"/>
              <w:bottom w:type="dxa" w:w="80"/>
              <w:right w:type="dxa" w:w="120"/>
            </w:tcMar>
          </w:tcPr>
          <w:p>
            <w:pPr>
              <w:spacing w:line="260"/>
            </w:pPr>
            <w:r>
              <w:rPr>
                <w:b w:val="false"/>
                <w:bCs w:val="false"/>
                <w:sz w:val="19"/>
                <w:szCs w:val="19"/>
              </w:rPr>
              <w:t xml:space="preserve">Authentication, session management, security, load balancing, saving preferences (e.g. language, cookie choices). The Service cannot function without them.</w:t>
            </w:r>
          </w:p>
        </w:tc>
        <w:tc>
          <w:tcPr>
            <w:tcW w:type="dxa" w:w="2700"/>
            <w:tcMar>
              <w:top w:type="dxa" w:w="80"/>
              <w:left w:type="dxa" w:w="120"/>
              <w:bottom w:type="dxa" w:w="80"/>
              <w:right w:type="dxa" w:w="120"/>
            </w:tcMar>
          </w:tcPr>
          <w:p>
            <w:pPr>
              <w:spacing w:line="260"/>
            </w:pPr>
            <w:r>
              <w:rPr>
                <w:b w:val="false"/>
                <w:bCs w:val="false"/>
                <w:sz w:val="19"/>
                <w:szCs w:val="19"/>
              </w:rPr>
              <w:t xml:space="preserve">No consent required (legitimate interest / contract)</w:t>
            </w:r>
          </w:p>
        </w:tc>
      </w:tr>
      <w:tr>
        <w:tc>
          <w:tcPr>
            <w:tcW w:type="dxa" w:w="2200"/>
            <w:tcMar>
              <w:top w:type="dxa" w:w="80"/>
              <w:left w:type="dxa" w:w="120"/>
              <w:bottom w:type="dxa" w:w="80"/>
              <w:right w:type="dxa" w:w="120"/>
            </w:tcMar>
          </w:tcPr>
          <w:p>
            <w:pPr>
              <w:spacing w:line="260"/>
            </w:pPr>
            <w:r>
              <w:rPr>
                <w:b w:val="false"/>
                <w:bCs w:val="false"/>
                <w:sz w:val="19"/>
                <w:szCs w:val="19"/>
              </w:rPr>
              <w:t xml:space="preserve">Analytics</w:t>
            </w:r>
          </w:p>
        </w:tc>
        <w:tc>
          <w:tcPr>
            <w:tcW w:type="dxa" w:w="4400"/>
            <w:tcMar>
              <w:top w:type="dxa" w:w="80"/>
              <w:left w:type="dxa" w:w="120"/>
              <w:bottom w:type="dxa" w:w="80"/>
              <w:right w:type="dxa" w:w="120"/>
            </w:tcMar>
          </w:tcPr>
          <w:p>
            <w:pPr>
              <w:spacing w:line="260"/>
            </w:pPr>
            <w:r>
              <w:rPr>
                <w:b w:val="false"/>
                <w:bCs w:val="false"/>
                <w:sz w:val="19"/>
                <w:szCs w:val="19"/>
              </w:rPr>
              <w:t xml:space="preserve">Aggregate statistics on Service usage to improve features and performance (e.g. Google Analytics 4 or equivalent). Where analytics cookies are configured with IP anonymisation and no cross-site combination, they may be assimilated to technical cookies.</w:t>
            </w:r>
          </w:p>
        </w:tc>
        <w:tc>
          <w:tcPr>
            <w:tcW w:type="dxa" w:w="2700"/>
            <w:tcMar>
              <w:top w:type="dxa" w:w="80"/>
              <w:left w:type="dxa" w:w="120"/>
              <w:bottom w:type="dxa" w:w="80"/>
              <w:right w:type="dxa" w:w="120"/>
            </w:tcMar>
          </w:tcPr>
          <w:p>
            <w:pPr>
              <w:spacing w:line="260"/>
            </w:pPr>
            <w:r>
              <w:rPr>
                <w:b w:val="false"/>
                <w:bCs w:val="false"/>
                <w:sz w:val="19"/>
                <w:szCs w:val="19"/>
              </w:rPr>
              <w:t xml:space="preserve">Consent (unless duly anonymised)</w:t>
            </w:r>
          </w:p>
        </w:tc>
      </w:tr>
      <w:tr>
        <w:tc>
          <w:tcPr>
            <w:tcW w:type="dxa" w:w="2200"/>
            <w:tcMar>
              <w:top w:type="dxa" w:w="80"/>
              <w:left w:type="dxa" w:w="120"/>
              <w:bottom w:type="dxa" w:w="80"/>
              <w:right w:type="dxa" w:w="120"/>
            </w:tcMar>
          </w:tcPr>
          <w:p>
            <w:pPr>
              <w:spacing w:line="260"/>
            </w:pPr>
            <w:r>
              <w:rPr>
                <w:b w:val="false"/>
                <w:bCs w:val="false"/>
                <w:sz w:val="19"/>
                <w:szCs w:val="19"/>
              </w:rPr>
              <w:t xml:space="preserve">Marketing / profiling</w:t>
            </w:r>
          </w:p>
        </w:tc>
        <w:tc>
          <w:tcPr>
            <w:tcW w:type="dxa" w:w="4400"/>
            <w:tcMar>
              <w:top w:type="dxa" w:w="80"/>
              <w:left w:type="dxa" w:w="120"/>
              <w:bottom w:type="dxa" w:w="80"/>
              <w:right w:type="dxa" w:w="120"/>
            </w:tcMar>
          </w:tcPr>
          <w:p>
            <w:pPr>
              <w:spacing w:line="260"/>
            </w:pPr>
            <w:r>
              <w:rPr>
                <w:b w:val="false"/>
                <w:bCs w:val="false"/>
                <w:sz w:val="19"/>
                <w:szCs w:val="19"/>
              </w:rPr>
              <w:t xml:space="preserve">Building user profiles and delivering personalised advertising, retargeting and social media features (e.g. Meta Pixel, Google Ads, social embeds).</w:t>
            </w:r>
          </w:p>
        </w:tc>
        <w:tc>
          <w:tcPr>
            <w:tcW w:type="dxa" w:w="2700"/>
            <w:tcMar>
              <w:top w:type="dxa" w:w="80"/>
              <w:left w:type="dxa" w:w="120"/>
              <w:bottom w:type="dxa" w:w="80"/>
              <w:right w:type="dxa" w:w="120"/>
            </w:tcMar>
          </w:tcPr>
          <w:p>
            <w:pPr>
              <w:spacing w:line="260"/>
            </w:pPr>
            <w:r>
              <w:rPr>
                <w:b w:val="false"/>
                <w:bCs w:val="false"/>
                <w:sz w:val="19"/>
                <w:szCs w:val="19"/>
              </w:rPr>
              <w:t xml:space="preserve">Consent</w:t>
            </w:r>
          </w:p>
        </w:tc>
      </w:tr>
    </w:tbl>
    <w:p>
      <w:pPr>
        <w:spacing w:after="140"/>
      </w:pPr>
    </w:p>
    <w:p>
      <w:pPr>
        <w:spacing w:after="140" w:line="300"/>
        <w:jc w:val="both"/>
      </w:pPr>
      <w:r>
        <w:t xml:space="preserve">The detailed, always up-to-date list of individual cookies (name, provider, duration, purpose) is available in the cookie banner/preference centre of the Service. </w:t>
      </w:r>
      <w:r>
        <w:rPr>
          <w:b/>
          <w:bCs/>
        </w:rPr>
        <w:t xml:space="preserve">[Insert or link the cookie table generated by your consent management platform.]</w:t>
      </w:r>
      <w:r>
        <w:t xml:space="preserve"/>
      </w:r>
    </w:p>
    <w:p>
      <w:pPr>
        <w:pStyle w:val="Heading1"/>
        <w:spacing w:after="120" w:before="300"/>
      </w:pPr>
      <w:r>
        <w:t xml:space="preserve">3. Consent</w:t>
      </w:r>
    </w:p>
    <w:p>
      <w:pPr>
        <w:spacing w:after="140" w:line="300"/>
        <w:jc w:val="both"/>
      </w:pPr>
      <w:r>
        <w:t xml:space="preserve">On your first visit, a banner allows you to: accept all cookies; reject all non-technical cookies; or customise your choices by category. No non-technical cookie is set before consent. Your choice is stored and can be changed at any time via the </w:t>
      </w:r>
      <w:r>
        <w:rPr>
          <w:b/>
          <w:bCs/>
        </w:rPr>
        <w:t xml:space="preserve">"Cookie preferences"</w:t>
      </w:r>
      <w:r>
        <w:t xml:space="preserve"> link in the footer/app settings. Closing the banner without choosing (e.g. via the "X") is equivalent to keeping only technical cookies.</w:t>
      </w:r>
    </w:p>
    <w:p>
      <w:pPr>
        <w:spacing w:after="140" w:line="300"/>
        <w:jc w:val="both"/>
      </w:pPr>
      <w:r>
        <w:t xml:space="preserve">Your consent choices are </w:t>
      </w:r>
      <w:r>
        <w:rPr>
          <w:b/>
          <w:bCs/>
        </w:rPr>
        <w:t xml:space="preserve">recorded as proof of consent</w:t>
      </w:r>
      <w:r>
        <w:t xml:space="preserve"> (Art. 7(1) GDPR). In line with the Italian DPA’s Guidelines, the banner is not shown again for at least 6 months after your choice, unless the conditions of processing change significantly, it is impossible to know whether a choice was already made (e.g. cookies deleted), or you reopen the preference centre yourself.</w:t>
      </w:r>
    </w:p>
    <w:p>
      <w:pPr>
        <w:pStyle w:val="Heading1"/>
        <w:spacing w:after="120" w:before="300"/>
      </w:pPr>
      <w:r>
        <w:t xml:space="preserve">4. Third-party cookies</w:t>
      </w:r>
    </w:p>
    <w:p>
      <w:pPr>
        <w:spacing w:after="140" w:line="300"/>
        <w:jc w:val="both"/>
      </w:pPr>
      <w:r>
        <w:t xml:space="preserve">Some cookies are set by third parties acting as autonomous controllers or processors (e.g. Google, Meta). We do not control their processing; please refer to their privacy policies. Where third parties are established outside the EEA, transfers occur under the safeguards described in our Privacy Policy.</w:t>
      </w:r>
    </w:p>
    <w:p>
      <w:pPr>
        <w:pStyle w:val="Heading1"/>
        <w:spacing w:after="120" w:before="300"/>
      </w:pPr>
      <w:r>
        <w:t xml:space="preserve">5. Managing cookies in your browser</w:t>
      </w:r>
    </w:p>
    <w:p>
      <w:pPr>
        <w:spacing w:after="140" w:line="300"/>
        <w:jc w:val="both"/>
      </w:pPr>
      <w:r>
        <w:t xml:space="preserve">You can also block or delete cookies through your browser settings (Chrome, Firefox, Safari, Edge). Blocking technical cookies may prevent the Service from working properly. Instructions are available in your browser’s help pages.</w:t>
      </w:r>
    </w:p>
    <w:p>
      <w:pPr>
        <w:pStyle w:val="Heading1"/>
        <w:spacing w:after="120" w:before="300"/>
      </w:pPr>
      <w:r>
        <w:t xml:space="preserve">6. Updates and contact</w:t>
      </w:r>
    </w:p>
    <w:p>
      <w:pPr>
        <w:spacing w:after="140" w:line="300"/>
        <w:jc w:val="both"/>
      </w:pPr>
      <w:r>
        <w:t xml:space="preserve">We may update this Policy as the cookies we use change. Questions and rights requests (see the Privacy Policy for the full list of rights): </w:t>
      </w:r>
      <w:r>
        <w:rPr>
          <w:b/>
          <w:bCs/>
        </w:rPr>
        <w:t xml:space="preserve">[PRIVACY CONTACT EMAIL]</w:t>
      </w:r>
      <w:r>
        <w:t xml:space="preserve">. Controller: </w:t>
      </w:r>
      <w:r>
        <w:rPr>
          <w:b/>
          <w:bCs/>
        </w:rPr>
        <w:t xml:space="preserve">[COMPANY NAME / OWNER NAME]</w:t>
      </w:r>
      <w:r>
        <w:t xml:space="preserve"> — </w:t>
      </w:r>
      <w:r>
        <w:rPr>
          <w:b/>
          <w:bCs/>
        </w:rPr>
        <w:t xml:space="preserve">[REGISTERED ADDRESS]</w:t>
      </w:r>
      <w:r>
        <w:t xml:space="preserve">.</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rFonts w:ascii="Calibri" w:cs="Calibri" w:eastAsia="Calibri" w:hAnsi="Calibri"/>
      <w:b/>
      <w:bCs/>
      <w:color w:val="1F2A44"/>
      <w:sz w:val="40"/>
      <w:szCs w:val="40"/>
    </w:rPr>
  </w:style>
  <w:style w:type="paragraph" w:styleId="Heading1">
    <w:name w:val="Heading 1"/>
    <w:basedOn w:val="Normal"/>
    <w:next w:val="Normal"/>
    <w:qFormat/>
    <w:rPr>
      <w:rFonts w:ascii="Calibri" w:cs="Calibri" w:eastAsia="Calibri" w:hAnsi="Calibri"/>
      <w:b/>
      <w:bCs/>
      <w:color w:val="2E3A59"/>
      <w:sz w:val="26"/>
      <w:szCs w:val="26"/>
    </w:rPr>
  </w:style>
  <w:style w:type="paragraph" w:styleId="Heading2">
    <w:name w:val="Heading 2"/>
    <w:basedOn w:val="Normal"/>
    <w:next w:val="Normal"/>
    <w:qFormat/>
    <w:rPr>
      <w:rFonts w:ascii="Calibri" w:cs="Calibri" w:eastAsia="Calibri" w:hAnsi="Calibri"/>
      <w:b/>
      <w:bCs/>
      <w:color w:val="3D4E7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2026-07-17T13:10:21.722Z</dcterms:created>
  <dcterms:modified xsi:type="dcterms:W3CDTF">2026-07-17T13:10:21.722Z</dcterms:modified>
</cp:coreProperties>
</file>

<file path=docProps/custom.xml><?xml version="1.0" encoding="utf-8"?>
<Properties xmlns="http://schemas.openxmlformats.org/officeDocument/2006/custom-properties" xmlns:vt="http://schemas.openxmlformats.org/officeDocument/2006/docPropsVTypes"/>
</file>