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A6B8C"/>
          <w:sz w:val="22"/>
          <w:szCs w:val="22"/>
        </w:rPr>
        <w:t xml:space="preserve">TrainMind AI</w:t>
      </w:r>
    </w:p>
    <w:p>
      <w:pPr>
        <w:pStyle w:val="Title"/>
        <w:spacing w:after="100"/>
      </w:pPr>
      <w:r>
        <w:rPr>
          <w:b/>
          <w:bCs/>
        </w:rPr>
        <w:t xml:space="preserve">Política de Privacidad (RGPD)</w:t>
      </w:r>
    </w:p>
    <w:p>
      <w:pPr>
        <w:spacing w:after="60"/>
      </w:pPr>
      <w:r>
        <w:rPr>
          <w:i/>
          <w:iCs/>
          <w:color w:val="666666"/>
          <w:sz w:val="20"/>
          <w:szCs w:val="20"/>
        </w:rPr>
        <w:t xml:space="preserve">Última actualización: 17 de julio de 2026</w:t>
      </w:r>
    </w:p>
    <w:p>
      <w:pPr>
        <w:pBdr>
          <w:bottom w:val="single" w:color="2E3A59" w:sz="6"/>
        </w:pBdr>
        <w:spacing w:after="260"/>
      </w:pPr>
    </w:p>
    <w:p>
      <w:pPr>
        <w:spacing w:after="140" w:line="300"/>
        <w:jc w:val="both"/>
      </w:pPr>
      <w:r>
        <w:t xml:space="preserve">La presente Política describe cómo </w:t>
      </w:r>
      <w:r>
        <w:rPr>
          <w:b/>
          <w:bCs/>
        </w:rPr>
        <w:t xml:space="preserve">[RAZÓN SOCIAL / NOMBRE DEL TITULAR]</w:t>
      </w:r>
      <w:r>
        <w:t xml:space="preserve">, con domicilio social en </w:t>
      </w:r>
      <w:r>
        <w:rPr>
          <w:b/>
          <w:bCs/>
        </w:rPr>
        <w:t xml:space="preserve">[DOMICILIO SOCIAL]</w:t>
      </w:r>
      <w:r>
        <w:t xml:space="preserve"> (el "</w:t>
      </w:r>
      <w:r>
        <w:rPr>
          <w:b/>
          <w:bCs/>
        </w:rPr>
        <w:t xml:space="preserve">Responsable del tratamiento</w:t>
      </w:r>
      <w:r>
        <w:t xml:space="preserve">"), trata los datos personales de los usuarios de la plataforma TrainMind AI (el "</w:t>
      </w:r>
      <w:r>
        <w:rPr>
          <w:b/>
          <w:bCs/>
        </w:rPr>
        <w:t xml:space="preserve">Servicio</w:t>
      </w:r>
      <w:r>
        <w:t xml:space="preserve">"), de conformidad con el Reglamento (UE) 2016/679 ("</w:t>
      </w:r>
      <w:r>
        <w:rPr>
          <w:b/>
          <w:bCs/>
        </w:rPr>
        <w:t xml:space="preserve">RGPD</w:t>
      </w:r>
      <w:r>
        <w:t xml:space="preserve">") y el D.lgs. italiano 196/2003 y sus modificaciones. Contacto de privacidad: </w:t>
      </w:r>
      <w:r>
        <w:rPr>
          <w:b/>
          <w:bCs/>
        </w:rPr>
        <w:t xml:space="preserve">[EMAIL DE PRIVACIDAD]</w:t>
      </w:r>
      <w:r>
        <w:t xml:space="preserve">.</w:t>
      </w:r>
    </w:p>
    <w:p>
      <w:pPr>
        <w:pStyle w:val="Heading1"/>
        <w:spacing w:after="120" w:before="300"/>
      </w:pPr>
      <w:r>
        <w:t xml:space="preserve">1. Datos tratados</w:t>
      </w:r>
    </w:p>
    <w:p>
      <w:pPr>
        <w:pStyle w:val="ListParagraph"/>
        <w:numPr>
          <w:ilvl w:val="0"/>
          <w:numId w:val="2"/>
        </w:numPr>
        <w:spacing w:after="80" w:line="300"/>
      </w:pPr>
      <w:r>
        <w:t xml:space="preserve"/>
      </w:r>
      <w:r>
        <w:rPr>
          <w:b/>
          <w:bCs/>
        </w:rPr>
        <w:t xml:space="preserve">Datos de cuenta</w:t>
      </w:r>
      <w:r>
        <w:t xml:space="preserve">: nombre, dirección de email, contraseña (cifrada), fecha de nacimiento, rol (atleta/entrenador), información de perfil.</w:t>
      </w:r>
    </w:p>
    <w:p>
      <w:pPr>
        <w:pStyle w:val="ListParagraph"/>
        <w:numPr>
          <w:ilvl w:val="0"/>
          <w:numId w:val="2"/>
        </w:numPr>
        <w:spacing w:after="80" w:line="300"/>
      </w:pPr>
      <w:r>
        <w:t xml:space="preserve"/>
      </w:r>
      <w:r>
        <w:rPr>
          <w:b/>
          <w:bCs/>
        </w:rPr>
        <w:t xml:space="preserve">Datos de salud y fitness</w:t>
      </w:r>
      <w:r>
        <w:t xml:space="preserve"> (categorías especiales, art. 9 RGPD): sesiones de entrenamiento, rendimiento físico, parámetros corporales (p. ej. peso, frecuencia cardíaca cuando se proporcionen), esfuerzo percibido, lesiones o limitaciones físicas que decidas registrar.</w:t>
      </w:r>
    </w:p>
    <w:p>
      <w:pPr>
        <w:pStyle w:val="ListParagraph"/>
        <w:numPr>
          <w:ilvl w:val="0"/>
          <w:numId w:val="2"/>
        </w:numPr>
        <w:spacing w:after="80" w:line="300"/>
      </w:pPr>
      <w:r>
        <w:t xml:space="preserve"/>
      </w:r>
      <w:r>
        <w:rPr>
          <w:b/>
          <w:bCs/>
        </w:rPr>
        <w:t xml:space="preserve">Datos de pago</w:t>
      </w:r>
      <w:r>
        <w:t xml:space="preserve">: plan de suscripción, historial de transacciones. Los datos completos de la tarjeta son tratados directamente por el proveedor de pagos (p. ej. Stripe) y nunca son almacenados por nosotros.</w:t>
      </w:r>
    </w:p>
    <w:p>
      <w:pPr>
        <w:pStyle w:val="ListParagraph"/>
        <w:numPr>
          <w:ilvl w:val="0"/>
          <w:numId w:val="2"/>
        </w:numPr>
        <w:spacing w:after="80" w:line="300"/>
      </w:pPr>
      <w:r>
        <w:t xml:space="preserve"/>
      </w:r>
      <w:r>
        <w:rPr>
          <w:b/>
          <w:bCs/>
        </w:rPr>
        <w:t xml:space="preserve">Datos de uso y del dispositivo</w:t>
      </w:r>
      <w:r>
        <w:t xml:space="preserve">: registros (logs), dirección IP, tipo de dispositivo/navegador, interacciones con la app, cookies y tecnologías similares (véase la Política de Cookies).</w:t>
      </w:r>
    </w:p>
    <w:p>
      <w:pPr>
        <w:pStyle w:val="ListParagraph"/>
        <w:numPr>
          <w:ilvl w:val="0"/>
          <w:numId w:val="2"/>
        </w:numPr>
        <w:spacing w:after="80" w:line="300"/>
      </w:pPr>
      <w:r>
        <w:t xml:space="preserve"/>
      </w:r>
      <w:r>
        <w:rPr>
          <w:b/>
          <w:bCs/>
        </w:rPr>
        <w:t xml:space="preserve">Comunicaciones</w:t>
      </w:r>
      <w:r>
        <w:t xml:space="preserve">: solicitudes de asistencia y correspondencia.</w:t>
      </w:r>
    </w:p>
    <w:p>
      <w:pPr>
        <w:pStyle w:val="Heading1"/>
        <w:spacing w:after="120" w:before="300"/>
      </w:pPr>
      <w:r>
        <w:t xml:space="preserve">2. Finalidades y bases jurídicas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700"/>
      </w:tblGrid>
      <w:tr>
        <w:trPr>
          <w:tblHeader/>
        </w:trPr>
        <w:tc>
          <w:tcPr>
            <w:tcW w:type="dxa" w:w="3300"/>
            <w:shd w:fill="E8EAF0" w:val="clear"/>
            <w:tcMar>
              <w:top w:type="dxa" w:w="80"/>
              <w:left w:type="dxa" w:w="120"/>
              <w:bottom w:type="dxa" w:w="80"/>
              <w:right w:type="dxa" w:w="120"/>
            </w:tcMar>
          </w:tcPr>
          <w:p>
            <w:pPr>
              <w:spacing w:line="260"/>
            </w:pPr>
            <w:r>
              <w:rPr>
                <w:b/>
                <w:bCs/>
                <w:sz w:val="19"/>
                <w:szCs w:val="19"/>
              </w:rPr>
              <w:t xml:space="preserve">Finalidad</w:t>
            </w:r>
          </w:p>
        </w:tc>
        <w:tc>
          <w:tcPr>
            <w:tcW w:type="dxa" w:w="3300"/>
            <w:shd w:fill="E8EAF0" w:val="clear"/>
            <w:tcMar>
              <w:top w:type="dxa" w:w="80"/>
              <w:left w:type="dxa" w:w="120"/>
              <w:bottom w:type="dxa" w:w="80"/>
              <w:right w:type="dxa" w:w="120"/>
            </w:tcMar>
          </w:tcPr>
          <w:p>
            <w:pPr>
              <w:spacing w:line="260"/>
            </w:pPr>
            <w:r>
              <w:rPr>
                <w:b/>
                <w:bCs/>
                <w:sz w:val="19"/>
                <w:szCs w:val="19"/>
              </w:rPr>
              <w:t xml:space="preserve">Datos</w:t>
            </w:r>
          </w:p>
        </w:tc>
        <w:tc>
          <w:tcPr>
            <w:tcW w:type="dxa" w:w="2700"/>
            <w:shd w:fill="E8EAF0" w:val="clear"/>
            <w:tcMar>
              <w:top w:type="dxa" w:w="80"/>
              <w:left w:type="dxa" w:w="120"/>
              <w:bottom w:type="dxa" w:w="80"/>
              <w:right w:type="dxa" w:w="120"/>
            </w:tcMar>
          </w:tcPr>
          <w:p>
            <w:pPr>
              <w:spacing w:line="260"/>
            </w:pPr>
            <w:r>
              <w:rPr>
                <w:b/>
                <w:bCs/>
                <w:sz w:val="19"/>
                <w:szCs w:val="19"/>
              </w:rPr>
              <w:t xml:space="preserve">Base jurídica (RGPD)</w:t>
            </w:r>
          </w:p>
        </w:tc>
      </w:tr>
      <w:tr>
        <w:tc>
          <w:tcPr>
            <w:tcW w:type="dxa" w:w="3300"/>
            <w:tcMar>
              <w:top w:type="dxa" w:w="80"/>
              <w:left w:type="dxa" w:w="120"/>
              <w:bottom w:type="dxa" w:w="80"/>
              <w:right w:type="dxa" w:w="120"/>
            </w:tcMar>
          </w:tcPr>
          <w:p>
            <w:pPr>
              <w:spacing w:line="260"/>
            </w:pPr>
            <w:r>
              <w:rPr>
                <w:b w:val="false"/>
                <w:bCs w:val="false"/>
                <w:sz w:val="19"/>
                <w:szCs w:val="19"/>
              </w:rPr>
              <w:t xml:space="preserve">Prestación del Servicio: cuenta, planes de entrenamiento, monitorización, sincronización</w:t>
            </w:r>
          </w:p>
        </w:tc>
        <w:tc>
          <w:tcPr>
            <w:tcW w:type="dxa" w:w="3300"/>
            <w:tcMar>
              <w:top w:type="dxa" w:w="80"/>
              <w:left w:type="dxa" w:w="120"/>
              <w:bottom w:type="dxa" w:w="80"/>
              <w:right w:type="dxa" w:w="120"/>
            </w:tcMar>
          </w:tcPr>
          <w:p>
            <w:pPr>
              <w:spacing w:line="260"/>
            </w:pPr>
            <w:r>
              <w:rPr>
                <w:b w:val="false"/>
                <w:bCs w:val="false"/>
                <w:sz w:val="19"/>
                <w:szCs w:val="19"/>
              </w:rPr>
              <w:t xml:space="preserve">Datos de cuenta y uso</w:t>
            </w:r>
          </w:p>
        </w:tc>
        <w:tc>
          <w:tcPr>
            <w:tcW w:type="dxa" w:w="2700"/>
            <w:tcMar>
              <w:top w:type="dxa" w:w="80"/>
              <w:left w:type="dxa" w:w="120"/>
              <w:bottom w:type="dxa" w:w="80"/>
              <w:right w:type="dxa" w:w="120"/>
            </w:tcMar>
          </w:tcPr>
          <w:p>
            <w:pPr>
              <w:spacing w:line="260"/>
            </w:pPr>
            <w:r>
              <w:rPr>
                <w:b w:val="false"/>
                <w:bCs w:val="false"/>
                <w:sz w:val="19"/>
                <w:szCs w:val="19"/>
              </w:rPr>
              <w:t xml:space="preserve">Art. 6(1)(b) — contrato</w:t>
            </w:r>
          </w:p>
        </w:tc>
      </w:tr>
      <w:tr>
        <w:tc>
          <w:tcPr>
            <w:tcW w:type="dxa" w:w="3300"/>
            <w:tcMar>
              <w:top w:type="dxa" w:w="80"/>
              <w:left w:type="dxa" w:w="120"/>
              <w:bottom w:type="dxa" w:w="80"/>
              <w:right w:type="dxa" w:w="120"/>
            </w:tcMar>
          </w:tcPr>
          <w:p>
            <w:pPr>
              <w:spacing w:line="260"/>
            </w:pPr>
            <w:r>
              <w:rPr>
                <w:b w:val="false"/>
                <w:bCs w:val="false"/>
                <w:sz w:val="19"/>
                <w:szCs w:val="19"/>
              </w:rPr>
              <w:t xml:space="preserve">Sugerencias de entrenamiento basadas en IA y análisis de rendimiento con datos de salud/fitness</w:t>
            </w:r>
          </w:p>
        </w:tc>
        <w:tc>
          <w:tcPr>
            <w:tcW w:type="dxa" w:w="3300"/>
            <w:tcMar>
              <w:top w:type="dxa" w:w="80"/>
              <w:left w:type="dxa" w:w="120"/>
              <w:bottom w:type="dxa" w:w="80"/>
              <w:right w:type="dxa" w:w="120"/>
            </w:tcMar>
          </w:tcPr>
          <w:p>
            <w:pPr>
              <w:spacing w:line="260"/>
            </w:pPr>
            <w:r>
              <w:rPr>
                <w:b w:val="false"/>
                <w:bCs w:val="false"/>
                <w:sz w:val="19"/>
                <w:szCs w:val="19"/>
              </w:rPr>
              <w:t xml:space="preserve">Datos de salud y fitness</w:t>
            </w:r>
          </w:p>
        </w:tc>
        <w:tc>
          <w:tcPr>
            <w:tcW w:type="dxa" w:w="2700"/>
            <w:tcMar>
              <w:top w:type="dxa" w:w="80"/>
              <w:left w:type="dxa" w:w="120"/>
              <w:bottom w:type="dxa" w:w="80"/>
              <w:right w:type="dxa" w:w="120"/>
            </w:tcMar>
          </w:tcPr>
          <w:p>
            <w:pPr>
              <w:spacing w:line="260"/>
            </w:pPr>
            <w:r>
              <w:rPr>
                <w:b w:val="false"/>
                <w:bCs w:val="false"/>
                <w:sz w:val="19"/>
                <w:szCs w:val="19"/>
              </w:rPr>
              <w:t xml:space="preserve">Art. 9(2)(a) — consentimiento explícito</w:t>
            </w:r>
          </w:p>
        </w:tc>
      </w:tr>
      <w:tr>
        <w:tc>
          <w:tcPr>
            <w:tcW w:type="dxa" w:w="3300"/>
            <w:tcMar>
              <w:top w:type="dxa" w:w="80"/>
              <w:left w:type="dxa" w:w="120"/>
              <w:bottom w:type="dxa" w:w="80"/>
              <w:right w:type="dxa" w:w="120"/>
            </w:tcMar>
          </w:tcPr>
          <w:p>
            <w:pPr>
              <w:spacing w:line="260"/>
            </w:pPr>
            <w:r>
              <w:rPr>
                <w:b w:val="false"/>
                <w:bCs w:val="false"/>
                <w:sz w:val="19"/>
                <w:szCs w:val="19"/>
              </w:rPr>
              <w:t xml:space="preserve">Facturación y gestión de suscripciones</w:t>
            </w:r>
          </w:p>
        </w:tc>
        <w:tc>
          <w:tcPr>
            <w:tcW w:type="dxa" w:w="3300"/>
            <w:tcMar>
              <w:top w:type="dxa" w:w="80"/>
              <w:left w:type="dxa" w:w="120"/>
              <w:bottom w:type="dxa" w:w="80"/>
              <w:right w:type="dxa" w:w="120"/>
            </w:tcMar>
          </w:tcPr>
          <w:p>
            <w:pPr>
              <w:spacing w:line="260"/>
            </w:pPr>
            <w:r>
              <w:rPr>
                <w:b w:val="false"/>
                <w:bCs w:val="false"/>
                <w:sz w:val="19"/>
                <w:szCs w:val="19"/>
              </w:rPr>
              <w:t xml:space="preserve">Datos de cuenta y pago</w:t>
            </w:r>
          </w:p>
        </w:tc>
        <w:tc>
          <w:tcPr>
            <w:tcW w:type="dxa" w:w="2700"/>
            <w:tcMar>
              <w:top w:type="dxa" w:w="80"/>
              <w:left w:type="dxa" w:w="120"/>
              <w:bottom w:type="dxa" w:w="80"/>
              <w:right w:type="dxa" w:w="120"/>
            </w:tcMar>
          </w:tcPr>
          <w:p>
            <w:pPr>
              <w:spacing w:line="260"/>
            </w:pPr>
            <w:r>
              <w:rPr>
                <w:b w:val="false"/>
                <w:bCs w:val="false"/>
                <w:sz w:val="19"/>
                <w:szCs w:val="19"/>
              </w:rPr>
              <w:t xml:space="preserve">Art. 6(1)(b) contrato; art. 6(1)(c) obligaciones legales</w:t>
            </w:r>
          </w:p>
        </w:tc>
      </w:tr>
      <w:tr>
        <w:tc>
          <w:tcPr>
            <w:tcW w:type="dxa" w:w="3300"/>
            <w:tcMar>
              <w:top w:type="dxa" w:w="80"/>
              <w:left w:type="dxa" w:w="120"/>
              <w:bottom w:type="dxa" w:w="80"/>
              <w:right w:type="dxa" w:w="120"/>
            </w:tcMar>
          </w:tcPr>
          <w:p>
            <w:pPr>
              <w:spacing w:line="260"/>
            </w:pPr>
            <w:r>
              <w:rPr>
                <w:b w:val="false"/>
                <w:bCs w:val="false"/>
                <w:sz w:val="19"/>
                <w:szCs w:val="19"/>
              </w:rPr>
              <w:t xml:space="preserve">Seguridad del Servicio, prevención de fraudes y abusos</w:t>
            </w:r>
          </w:p>
        </w:tc>
        <w:tc>
          <w:tcPr>
            <w:tcW w:type="dxa" w:w="3300"/>
            <w:tcMar>
              <w:top w:type="dxa" w:w="80"/>
              <w:left w:type="dxa" w:w="120"/>
              <w:bottom w:type="dxa" w:w="80"/>
              <w:right w:type="dxa" w:w="120"/>
            </w:tcMar>
          </w:tcPr>
          <w:p>
            <w:pPr>
              <w:spacing w:line="260"/>
            </w:pPr>
            <w:r>
              <w:rPr>
                <w:b w:val="false"/>
                <w:bCs w:val="false"/>
                <w:sz w:val="19"/>
                <w:szCs w:val="19"/>
              </w:rPr>
              <w:t xml:space="preserve">Datos de uso y dispositivo</w:t>
            </w:r>
          </w:p>
        </w:tc>
        <w:tc>
          <w:tcPr>
            <w:tcW w:type="dxa" w:w="2700"/>
            <w:tcMar>
              <w:top w:type="dxa" w:w="80"/>
              <w:left w:type="dxa" w:w="120"/>
              <w:bottom w:type="dxa" w:w="80"/>
              <w:right w:type="dxa" w:w="120"/>
            </w:tcMar>
          </w:tcPr>
          <w:p>
            <w:pPr>
              <w:spacing w:line="260"/>
            </w:pPr>
            <w:r>
              <w:rPr>
                <w:b w:val="false"/>
                <w:bCs w:val="false"/>
                <w:sz w:val="19"/>
                <w:szCs w:val="19"/>
              </w:rPr>
              <w:t xml:space="preserve">Art. 6(1)(f) — interés legítimo</w:t>
            </w:r>
          </w:p>
        </w:tc>
      </w:tr>
      <w:tr>
        <w:tc>
          <w:tcPr>
            <w:tcW w:type="dxa" w:w="3300"/>
            <w:tcMar>
              <w:top w:type="dxa" w:w="80"/>
              <w:left w:type="dxa" w:w="120"/>
              <w:bottom w:type="dxa" w:w="80"/>
              <w:right w:type="dxa" w:w="120"/>
            </w:tcMar>
          </w:tcPr>
          <w:p>
            <w:pPr>
              <w:spacing w:line="260"/>
            </w:pPr>
            <w:r>
              <w:rPr>
                <w:b w:val="false"/>
                <w:bCs w:val="false"/>
                <w:sz w:val="19"/>
                <w:szCs w:val="19"/>
              </w:rPr>
              <w:t xml:space="preserve">Mejora del producto y estadísticas agregadas</w:t>
            </w:r>
          </w:p>
        </w:tc>
        <w:tc>
          <w:tcPr>
            <w:tcW w:type="dxa" w:w="3300"/>
            <w:tcMar>
              <w:top w:type="dxa" w:w="80"/>
              <w:left w:type="dxa" w:w="120"/>
              <w:bottom w:type="dxa" w:w="80"/>
              <w:right w:type="dxa" w:w="120"/>
            </w:tcMar>
          </w:tcPr>
          <w:p>
            <w:pPr>
              <w:spacing w:line="260"/>
            </w:pPr>
            <w:r>
              <w:rPr>
                <w:b w:val="false"/>
                <w:bCs w:val="false"/>
                <w:sz w:val="19"/>
                <w:szCs w:val="19"/>
              </w:rPr>
              <w:t xml:space="preserve">Datos de uso (agregados/seudonimizados)</w:t>
            </w:r>
          </w:p>
        </w:tc>
        <w:tc>
          <w:tcPr>
            <w:tcW w:type="dxa" w:w="2700"/>
            <w:tcMar>
              <w:top w:type="dxa" w:w="80"/>
              <w:left w:type="dxa" w:w="120"/>
              <w:bottom w:type="dxa" w:w="80"/>
              <w:right w:type="dxa" w:w="120"/>
            </w:tcMar>
          </w:tcPr>
          <w:p>
            <w:pPr>
              <w:spacing w:line="260"/>
            </w:pPr>
            <w:r>
              <w:rPr>
                <w:b w:val="false"/>
                <w:bCs w:val="false"/>
                <w:sz w:val="19"/>
                <w:szCs w:val="19"/>
              </w:rPr>
              <w:t xml:space="preserve">Art. 6(1)(f) — interés legítimo</w:t>
            </w:r>
          </w:p>
        </w:tc>
      </w:tr>
      <w:tr>
        <w:tc>
          <w:tcPr>
            <w:tcW w:type="dxa" w:w="3300"/>
            <w:tcMar>
              <w:top w:type="dxa" w:w="80"/>
              <w:left w:type="dxa" w:w="120"/>
              <w:bottom w:type="dxa" w:w="80"/>
              <w:right w:type="dxa" w:w="120"/>
            </w:tcMar>
          </w:tcPr>
          <w:p>
            <w:pPr>
              <w:spacing w:line="260"/>
            </w:pPr>
            <w:r>
              <w:rPr>
                <w:b w:val="false"/>
                <w:bCs w:val="false"/>
                <w:sz w:val="19"/>
                <w:szCs w:val="19"/>
              </w:rPr>
              <w:t xml:space="preserve">Comunicaciones de marketing (newsletter, ofertas)</w:t>
            </w:r>
          </w:p>
        </w:tc>
        <w:tc>
          <w:tcPr>
            <w:tcW w:type="dxa" w:w="3300"/>
            <w:tcMar>
              <w:top w:type="dxa" w:w="80"/>
              <w:left w:type="dxa" w:w="120"/>
              <w:bottom w:type="dxa" w:w="80"/>
              <w:right w:type="dxa" w:w="120"/>
            </w:tcMar>
          </w:tcPr>
          <w:p>
            <w:pPr>
              <w:spacing w:line="260"/>
            </w:pPr>
            <w:r>
              <w:rPr>
                <w:b w:val="false"/>
                <w:bCs w:val="false"/>
                <w:sz w:val="19"/>
                <w:szCs w:val="19"/>
              </w:rPr>
              <w:t xml:space="preserve">Email, datos de cuenta</w:t>
            </w:r>
          </w:p>
        </w:tc>
        <w:tc>
          <w:tcPr>
            <w:tcW w:type="dxa" w:w="2700"/>
            <w:tcMar>
              <w:top w:type="dxa" w:w="80"/>
              <w:left w:type="dxa" w:w="120"/>
              <w:bottom w:type="dxa" w:w="80"/>
              <w:right w:type="dxa" w:w="120"/>
            </w:tcMar>
          </w:tcPr>
          <w:p>
            <w:pPr>
              <w:spacing w:line="260"/>
            </w:pPr>
            <w:r>
              <w:rPr>
                <w:b w:val="false"/>
                <w:bCs w:val="false"/>
                <w:sz w:val="19"/>
                <w:szCs w:val="19"/>
              </w:rPr>
              <w:t xml:space="preserve">Art. 6(1)(a) — consentimiento (revocable en cualquier momento)</w:t>
            </w:r>
          </w:p>
        </w:tc>
      </w:tr>
      <w:tr>
        <w:tc>
          <w:tcPr>
            <w:tcW w:type="dxa" w:w="3300"/>
            <w:tcMar>
              <w:top w:type="dxa" w:w="80"/>
              <w:left w:type="dxa" w:w="120"/>
              <w:bottom w:type="dxa" w:w="80"/>
              <w:right w:type="dxa" w:w="120"/>
            </w:tcMar>
          </w:tcPr>
          <w:p>
            <w:pPr>
              <w:spacing w:line="260"/>
            </w:pPr>
            <w:r>
              <w:rPr>
                <w:b w:val="false"/>
                <w:bCs w:val="false"/>
                <w:sz w:val="19"/>
                <w:szCs w:val="19"/>
              </w:rPr>
              <w:t xml:space="preserve">Cookies analíticas y de marketing</w:t>
            </w:r>
          </w:p>
        </w:tc>
        <w:tc>
          <w:tcPr>
            <w:tcW w:type="dxa" w:w="3300"/>
            <w:tcMar>
              <w:top w:type="dxa" w:w="80"/>
              <w:left w:type="dxa" w:w="120"/>
              <w:bottom w:type="dxa" w:w="80"/>
              <w:right w:type="dxa" w:w="120"/>
            </w:tcMar>
          </w:tcPr>
          <w:p>
            <w:pPr>
              <w:spacing w:line="260"/>
            </w:pPr>
            <w:r>
              <w:rPr>
                <w:b w:val="false"/>
                <w:bCs w:val="false"/>
                <w:sz w:val="19"/>
                <w:szCs w:val="19"/>
              </w:rPr>
              <w:t xml:space="preserve">Datos de cookies/dispositivo</w:t>
            </w:r>
          </w:p>
        </w:tc>
        <w:tc>
          <w:tcPr>
            <w:tcW w:type="dxa" w:w="2700"/>
            <w:tcMar>
              <w:top w:type="dxa" w:w="80"/>
              <w:left w:type="dxa" w:w="120"/>
              <w:bottom w:type="dxa" w:w="80"/>
              <w:right w:type="dxa" w:w="120"/>
            </w:tcMar>
          </w:tcPr>
          <w:p>
            <w:pPr>
              <w:spacing w:line="260"/>
            </w:pPr>
            <w:r>
              <w:rPr>
                <w:b w:val="false"/>
                <w:bCs w:val="false"/>
                <w:sz w:val="19"/>
                <w:szCs w:val="19"/>
              </w:rPr>
              <w:t xml:space="preserve">Consentimiento (véase la Política de Cookies)</w:t>
            </w:r>
          </w:p>
        </w:tc>
      </w:tr>
      <w:tr>
        <w:tc>
          <w:tcPr>
            <w:tcW w:type="dxa" w:w="3300"/>
            <w:tcMar>
              <w:top w:type="dxa" w:w="80"/>
              <w:left w:type="dxa" w:w="120"/>
              <w:bottom w:type="dxa" w:w="80"/>
              <w:right w:type="dxa" w:w="120"/>
            </w:tcMar>
          </w:tcPr>
          <w:p>
            <w:pPr>
              <w:spacing w:line="260"/>
            </w:pPr>
            <w:r>
              <w:rPr>
                <w:b w:val="false"/>
                <w:bCs w:val="false"/>
                <w:sz w:val="19"/>
                <w:szCs w:val="19"/>
              </w:rPr>
              <w:t xml:space="preserve">Cumplimiento de obligaciones legales (fiscales, contables, requerimientos de autoridades)</w:t>
            </w:r>
          </w:p>
        </w:tc>
        <w:tc>
          <w:tcPr>
            <w:tcW w:type="dxa" w:w="3300"/>
            <w:tcMar>
              <w:top w:type="dxa" w:w="80"/>
              <w:left w:type="dxa" w:w="120"/>
              <w:bottom w:type="dxa" w:w="80"/>
              <w:right w:type="dxa" w:w="120"/>
            </w:tcMar>
          </w:tcPr>
          <w:p>
            <w:pPr>
              <w:spacing w:line="260"/>
            </w:pPr>
            <w:r>
              <w:rPr>
                <w:b w:val="false"/>
                <w:bCs w:val="false"/>
                <w:sz w:val="19"/>
                <w:szCs w:val="19"/>
              </w:rPr>
              <w:t xml:space="preserve">Datos de cuenta y pago</w:t>
            </w:r>
          </w:p>
        </w:tc>
        <w:tc>
          <w:tcPr>
            <w:tcW w:type="dxa" w:w="2700"/>
            <w:tcMar>
              <w:top w:type="dxa" w:w="80"/>
              <w:left w:type="dxa" w:w="120"/>
              <w:bottom w:type="dxa" w:w="80"/>
              <w:right w:type="dxa" w:w="120"/>
            </w:tcMar>
          </w:tcPr>
          <w:p>
            <w:pPr>
              <w:spacing w:line="260"/>
            </w:pPr>
            <w:r>
              <w:rPr>
                <w:b w:val="false"/>
                <w:bCs w:val="false"/>
                <w:sz w:val="19"/>
                <w:szCs w:val="19"/>
              </w:rPr>
              <w:t xml:space="preserve">Art. 6(1)(c) — obligación legal</w:t>
            </w:r>
          </w:p>
        </w:tc>
      </w:tr>
    </w:tbl>
    <w:p>
      <w:pPr>
        <w:spacing w:after="140"/>
      </w:pPr>
    </w:p>
    <w:p>
      <w:pPr>
        <w:spacing w:after="140" w:line="300"/>
        <w:jc w:val="both"/>
      </w:pPr>
      <w:r>
        <w:t xml:space="preserve"/>
      </w:r>
      <w:r>
        <w:rPr>
          <w:b/>
          <w:bCs/>
        </w:rPr>
        <w:t xml:space="preserve">Los datos de salud y fitness se tratan únicamente con tu consentimiento explícito</w:t>
      </w:r>
      <w:r>
        <w:t xml:space="preserve">, solicitado en el registro o al activar las funcionalidades correspondientes. Puedes revocar el consentimiento en cualquier momento desde la configuración de tu cuenta o escribiendo a </w:t>
      </w:r>
      <w:r>
        <w:rPr>
          <w:b/>
          <w:bCs/>
        </w:rPr>
        <w:t xml:space="preserve">[EMAIL DE PRIVACIDAD]</w:t>
      </w:r>
      <w:r>
        <w:t xml:space="preserve">; la revocación no afecta a los tratamientos realizados con anterioridad, pero algunas funcionalidades (p. ej. planes de entrenamiento con IA) dejarán de estar disponibles.</w:t>
      </w:r>
    </w:p>
    <w:p>
      <w:pPr>
        <w:pStyle w:val="Heading1"/>
        <w:spacing w:after="120" w:before="300"/>
      </w:pPr>
      <w:r>
        <w:t xml:space="preserve">3. Tratamientos mediante IA y decisiones automatizadas</w:t>
      </w:r>
    </w:p>
    <w:p>
      <w:pPr>
        <w:spacing w:after="140" w:line="300"/>
        <w:jc w:val="both"/>
      </w:pPr>
      <w:r>
        <w:t xml:space="preserve">El Servicio utiliza modelos de IA para generar sugerencias de entrenamiento y análisis a partir de tus datos. Se trata de una forma de elaboración de perfiles limitada a fines deportivos/de fitness. </w:t>
      </w:r>
      <w:r>
        <w:rPr>
          <w:b/>
          <w:bCs/>
        </w:rPr>
        <w:t xml:space="preserve">Ninguna decisión que produzca efectos jurídicos o te afecte de modo significativo similar se adopta únicamente mediante tratamiento automatizado</w:t>
      </w:r>
      <w:r>
        <w:t xml:space="preserve"> en el sentido del art. 22 RGPD: los resultados de la IA son sugerencias que tú (o tu entrenador) sois libres de aceptar, modificar o ignorar. Cuando se utilicen proveedores externos de IA, estos actúan como encargados del tratamiento conforme al art. 28 RGPD y tienen prohibido contractualmente utilizar tus datos para entrenar sus modelos, o bien los datos se minimizan/seudonimizan antes del envío. Puedes solicitar una revisión humana o impugnar cualquier resultado que te afecte de modo significativo escribiendo a </w:t>
      </w:r>
      <w:r>
        <w:rPr>
          <w:b/>
          <w:bCs/>
        </w:rPr>
        <w:t xml:space="preserve">[EMAIL DE PRIVACIDAD]</w:t>
      </w:r>
      <w:r>
        <w:t xml:space="preserve">.</w:t>
      </w:r>
    </w:p>
    <w:p>
      <w:pPr>
        <w:spacing w:after="140" w:line="300"/>
        <w:jc w:val="both"/>
      </w:pPr>
      <w:r>
        <w:t xml:space="preserve"/>
      </w:r>
      <w:r>
        <w:rPr>
          <w:b/>
          <w:bCs/>
        </w:rPr>
        <w:t xml:space="preserve">Reglamento de IA de la UE (Reglamento (UE) 2024/1689).</w:t>
      </w:r>
      <w:r>
        <w:t xml:space="preserve"> Las funcionalidades de IA del Servicio están sujetas al régimen de transparencia del art. 50 del Reglamento de IA, aplicable desde el 2 de agosto de 2026: se te informa cuando interactúas con un sistema de IA y los contenidos generados por IA se identifican como tales dentro del Servicio. Según nuestra evaluación, el Servicio </w:t>
      </w:r>
      <w:r>
        <w:rPr>
          <w:b/>
          <w:bCs/>
        </w:rPr>
        <w:t xml:space="preserve">no es un sistema de IA de alto riesgo</w:t>
      </w:r>
      <w:r>
        <w:t xml:space="preserve"> conforme al Anexo III del Reglamento de IA, no realiza reconocimiento de emociones ni categorización biométrica y no lleva a cabo ninguna práctica prohibida por el art. 5. La supervisión humana de los resultados de la IA está garantizada según lo descrito anteriormente. Esta evaluación está documentada y se revisa a la luz de las directrices de la Comisión Europea y de las modificaciones posteriores (incluido el reglamento "AI Digital Omnibus" de 2026).</w:t>
      </w:r>
    </w:p>
    <w:p>
      <w:pPr>
        <w:pStyle w:val="Heading1"/>
        <w:spacing w:after="120" w:before="300"/>
      </w:pPr>
      <w:r>
        <w:t xml:space="preserve">4. Destinatarios</w:t>
      </w:r>
    </w:p>
    <w:p>
      <w:pPr>
        <w:spacing w:after="140" w:line="300"/>
        <w:jc w:val="both"/>
      </w:pPr>
      <w:r>
        <w:t xml:space="preserve">Los datos pueden comunicarse a: (i) proveedores técnicos designados encargados del tratamiento (alojamiento e infraestructura cloud, p. ej. </w:t>
      </w:r>
      <w:r>
        <w:rPr>
          <w:b/>
          <w:bCs/>
        </w:rPr>
        <w:t xml:space="preserve">[PROVEEDOR DE HOSTING]</w:t>
      </w:r>
      <w:r>
        <w:t xml:space="preserve">; envío de emails; pagos, p. ej. Stripe; analítica; proveedores de modelos de IA, p. ej. </w:t>
      </w:r>
      <w:r>
        <w:rPr>
          <w:b/>
          <w:bCs/>
        </w:rPr>
        <w:t xml:space="preserve">[PROVEEDOR/ES DE IA]</w:t>
      </w:r>
      <w:r>
        <w:t xml:space="preserve">); (ii) entrenadores o personal que decidas expresamente vincular a través del Servicio; (iii) autoridades competentes en los casos previstos por la ley; (iv) asesores profesionales. La lista actualizada de encargados está disponible previa solicitud en </w:t>
      </w:r>
      <w:r>
        <w:rPr>
          <w:b/>
          <w:bCs/>
        </w:rPr>
        <w:t xml:space="preserve">[EMAIL DE PRIVACIDAD]</w:t>
      </w:r>
      <w:r>
        <w:t xml:space="preserve">. No vendemos tus datos personales.</w:t>
      </w:r>
    </w:p>
    <w:p>
      <w:pPr>
        <w:pStyle w:val="Heading1"/>
        <w:spacing w:after="120" w:before="300"/>
      </w:pPr>
      <w:r>
        <w:t xml:space="preserve">5. Transferencias fuera del EEE</w:t>
      </w:r>
    </w:p>
    <w:p>
      <w:pPr>
        <w:spacing w:after="140" w:line="300"/>
        <w:jc w:val="both"/>
      </w:pPr>
      <w:r>
        <w:t xml:space="preserve">Algunos proveedores pueden estar establecidos fuera del Espacio Económico Europeo (p. ej. Estados Unidos). En tales casos, las transferencias se realizan sobre la base de una decisión de adecuación de la Comisión Europea (incluido el EU-U.S. Data Privacy Framework, cuando el destinatario esté certificado) o de Cláusulas Contractuales Tipo conforme al art. 46 RGPD, con medidas complementarias cuando sea necesario. Hay copia de las garantías disponible previa solicitud.</w:t>
      </w:r>
    </w:p>
    <w:p>
      <w:pPr>
        <w:pStyle w:val="Heading1"/>
        <w:spacing w:after="120" w:before="300"/>
      </w:pPr>
      <w:r>
        <w:t xml:space="preserve">6. Conservación</w:t>
      </w:r>
    </w:p>
    <w:p>
      <w:pPr>
        <w:pStyle w:val="ListParagraph"/>
        <w:numPr>
          <w:ilvl w:val="0"/>
          <w:numId w:val="2"/>
        </w:numPr>
        <w:spacing w:after="80" w:line="300"/>
      </w:pPr>
      <w:r>
        <w:t xml:space="preserve">Datos de cuenta y perfil: mientras la cuenta esté activa; después se eliminan o anonimizan en un plazo de </w:t>
      </w:r>
      <w:r>
        <w:rPr>
          <w:b/>
          <w:bCs/>
        </w:rPr>
        <w:t xml:space="preserve">[p. ej. 30 días]</w:t>
      </w:r>
      <w:r>
        <w:t xml:space="preserve"> desde la cancelación.</w:t>
      </w:r>
    </w:p>
    <w:p>
      <w:pPr>
        <w:pStyle w:val="ListParagraph"/>
        <w:numPr>
          <w:ilvl w:val="0"/>
          <w:numId w:val="2"/>
        </w:numPr>
        <w:spacing w:after="80" w:line="300"/>
      </w:pPr>
      <w:r>
        <w:t xml:space="preserve">Datos de salud y fitness: hasta la revocación del consentimiento o la eliminación de la cuenta; después se eliminan o anonimizan de forma irreversible.</w:t>
      </w:r>
    </w:p>
    <w:p>
      <w:pPr>
        <w:pStyle w:val="ListParagraph"/>
        <w:numPr>
          <w:ilvl w:val="0"/>
          <w:numId w:val="2"/>
        </w:numPr>
        <w:spacing w:after="80" w:line="300"/>
      </w:pPr>
      <w:r>
        <w:t xml:space="preserve">Documentación contable y fiscal: 10 años (obligación legal italiana).</w:t>
      </w:r>
    </w:p>
    <w:p>
      <w:pPr>
        <w:pStyle w:val="ListParagraph"/>
        <w:numPr>
          <w:ilvl w:val="0"/>
          <w:numId w:val="2"/>
        </w:numPr>
        <w:spacing w:after="80" w:line="300"/>
      </w:pPr>
      <w:r>
        <w:t xml:space="preserve">Registros de seguridad: hasta </w:t>
      </w:r>
      <w:r>
        <w:rPr>
          <w:b/>
          <w:bCs/>
        </w:rPr>
        <w:t xml:space="preserve">[p. ej. 12 meses]</w:t>
      </w:r>
      <w:r>
        <w:t xml:space="preserve">.</w:t>
      </w:r>
    </w:p>
    <w:p>
      <w:pPr>
        <w:pStyle w:val="ListParagraph"/>
        <w:numPr>
          <w:ilvl w:val="0"/>
          <w:numId w:val="2"/>
        </w:numPr>
        <w:spacing w:after="80" w:line="300"/>
      </w:pPr>
      <w:r>
        <w:t xml:space="preserve">Consentimientos de marketing y datos de contacto: hasta la revocación o tras una inactividad prolongada.</w:t>
      </w:r>
    </w:p>
    <w:p>
      <w:pPr>
        <w:pStyle w:val="Heading1"/>
        <w:spacing w:after="120" w:before="300"/>
      </w:pPr>
      <w:r>
        <w:t xml:space="preserve">7. Tus derechos</w:t>
      </w:r>
    </w:p>
    <w:p>
      <w:pPr>
        <w:spacing w:after="140" w:line="300"/>
        <w:jc w:val="both"/>
      </w:pPr>
      <w:r>
        <w:t xml:space="preserve">En virtud de los arts. 15–22 RGPD tienes derecho a: acceder a tus datos; obtener su rectificación o supresión; limitar el tratamiento; oponerte a los tratamientos basados en el interés legítimo; recibir tus datos en un formato portable (portabilidad); revocar el consentimiento en cualquier momento sin perjuicio de los tratamientos anteriores. Para ejercer tus derechos, escribe a </w:t>
      </w:r>
      <w:r>
        <w:rPr>
          <w:b/>
          <w:bCs/>
        </w:rPr>
        <w:t xml:space="preserve">[EMAIL DE PRIVACIDAD]</w:t>
      </w:r>
      <w:r>
        <w:t xml:space="preserve">. Respondemos en el plazo de un mes (prorrogable en casos complejos).</w:t>
      </w:r>
    </w:p>
    <w:p>
      <w:pPr>
        <w:spacing w:after="140" w:line="300"/>
        <w:jc w:val="both"/>
      </w:pPr>
      <w:r>
        <w:t xml:space="preserve">También tienes derecho a presentar una reclamación ante la autoridad de control italiana, el </w:t>
      </w:r>
      <w:r>
        <w:rPr>
          <w:b/>
          <w:bCs/>
        </w:rPr>
        <w:t xml:space="preserve">Garante per la protezione dei dati personali</w:t>
      </w:r>
      <w:r>
        <w:t xml:space="preserve"> (www.garanteprivacy.it), o ante la autoridad de control de tu lugar de residencia (en España, la Agencia Española de Protección de Datos — www.aepd.es).</w:t>
      </w:r>
    </w:p>
    <w:p>
      <w:pPr>
        <w:pStyle w:val="Heading1"/>
        <w:spacing w:after="120" w:before="300"/>
      </w:pPr>
      <w:r>
        <w:t xml:space="preserve">8. Menores</w:t>
      </w:r>
    </w:p>
    <w:p>
      <w:pPr>
        <w:spacing w:after="140" w:line="300"/>
        <w:jc w:val="both"/>
      </w:pPr>
      <w:r>
        <w:t xml:space="preserve">El Servicio está destinado a usuarios de </w:t>
      </w:r>
      <w:r>
        <w:rPr>
          <w:b/>
          <w:bCs/>
        </w:rPr>
        <w:t xml:space="preserve">14 años o más</w:t>
      </w:r>
      <w:r>
        <w:t xml:space="preserve">. En Italia, el menor que haya cumplido 14 años puede prestar válidamente su consentimiento al tratamiento de sus datos personales en relación con los servicios de la sociedad de la información (art. 2-quinquies, D.lgs. 196/2003); en España el límite es igualmente de 14 años (art. 7, LO 3/2018). Para los usuarios menores de 18 años, el consentimiento al tratamiento de datos de salud/fitness y la aceptación contractual pueden requerir además la intervención de un progenitor o tutor, según se indica en el registro. Si tuviéramos conocimiento de datos recogidos de un menor de 14 años sin consentimiento parental válido, procederemos a su supresión.</w:t>
      </w:r>
    </w:p>
    <w:p>
      <w:pPr>
        <w:pStyle w:val="Heading1"/>
        <w:spacing w:after="120" w:before="300"/>
      </w:pPr>
      <w:r>
        <w:t xml:space="preserve">9. Seguridad</w:t>
      </w:r>
    </w:p>
    <w:p>
      <w:pPr>
        <w:spacing w:after="140" w:line="300"/>
        <w:jc w:val="both"/>
      </w:pPr>
      <w:r>
        <w:t xml:space="preserve">Aplicamos medidas técnicas y organizativas adecuadas (art. 32 RGPD), entre ellas cifrado en tránsito, contraseñas cifradas, controles de acceso, copias de seguridad, segregación de entornos y registro de actividad. Ningún sistema es completamente seguro; en caso de violación de datos personales actuaremos conforme a los arts. 33–34 RGPD.</w:t>
      </w:r>
    </w:p>
    <w:p>
      <w:pPr>
        <w:pStyle w:val="Heading1"/>
        <w:spacing w:after="120" w:before="300"/>
      </w:pPr>
      <w:r>
        <w:t xml:space="preserve">10. Cambios</w:t>
      </w:r>
    </w:p>
    <w:p>
      <w:pPr>
        <w:spacing w:after="140" w:line="300"/>
        <w:jc w:val="both"/>
      </w:pPr>
      <w:r>
        <w:t xml:space="preserve">Podremos actualizar la presente Política; los cambios sustanciales se comunicarán a través del Servicio o por email. La fecha indicada al inicio corresponde a la versión más reciente.</w:t>
      </w:r>
    </w:p>
    <w:p>
      <w:pPr>
        <w:pStyle w:val="Heading1"/>
        <w:spacing w:after="120" w:before="300"/>
      </w:pPr>
      <w:r>
        <w:t xml:space="preserve">11. Contacto</w:t>
      </w:r>
    </w:p>
    <w:p>
      <w:pPr>
        <w:spacing w:after="140" w:line="300"/>
        <w:jc w:val="both"/>
      </w:pPr>
      <w:r>
        <w:t xml:space="preserve">Responsable del tratamiento: </w:t>
      </w:r>
      <w:r>
        <w:rPr>
          <w:b/>
          <w:bCs/>
        </w:rPr>
        <w:t xml:space="preserve">[RAZÓN SOCIAL / NOMBRE DEL TITULAR]</w:t>
      </w:r>
      <w:r>
        <w:t xml:space="preserve"> — </w:t>
      </w:r>
      <w:r>
        <w:rPr>
          <w:b/>
          <w:bCs/>
        </w:rPr>
        <w:t xml:space="preserve">[DOMICILIO SOCIAL]</w:t>
      </w:r>
      <w:r>
        <w:t xml:space="preserve"> — </w:t>
      </w:r>
      <w:r>
        <w:rPr>
          <w:b/>
          <w:bCs/>
        </w:rPr>
        <w:t xml:space="preserve">[EMAIL DE PRIVACIDAD]</w:t>
      </w:r>
      <w:r>
        <w:t xml:space="preserve">. </w:t>
      </w:r>
      <w:r>
        <w:rPr>
          <w:b/>
          <w:bCs/>
        </w:rPr>
        <w:t xml:space="preserve">[Si se ha designado: datos de contacto del DPO.]</w:t>
      </w:r>
      <w:r>
        <w:t xml:space="preserve"/>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rFonts w:ascii="Calibri" w:cs="Calibri" w:eastAsia="Calibri" w:hAnsi="Calibri"/>
      <w:b/>
      <w:bCs/>
      <w:color w:val="1F2A44"/>
      <w:sz w:val="40"/>
      <w:szCs w:val="40"/>
    </w:rPr>
  </w:style>
  <w:style w:type="paragraph" w:styleId="Heading1">
    <w:name w:val="Heading 1"/>
    <w:basedOn w:val="Normal"/>
    <w:next w:val="Normal"/>
    <w:qFormat/>
    <w:rPr>
      <w:rFonts w:ascii="Calibri" w:cs="Calibri" w:eastAsia="Calibri" w:hAnsi="Calibri"/>
      <w:b/>
      <w:bCs/>
      <w:color w:val="2E3A59"/>
      <w:sz w:val="26"/>
      <w:szCs w:val="26"/>
    </w:rPr>
  </w:style>
  <w:style w:type="paragraph" w:styleId="Heading2">
    <w:name w:val="Heading 2"/>
    <w:basedOn w:val="Normal"/>
    <w:next w:val="Normal"/>
    <w:qFormat/>
    <w:rPr>
      <w:rFonts w:ascii="Calibri" w:cs="Calibri" w:eastAsia="Calibri" w:hAnsi="Calibri"/>
      <w:b/>
      <w:bCs/>
      <w:color w:val="3D4E73"/>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2026-07-17T13:28:48.923Z</dcterms:created>
  <dcterms:modified xsi:type="dcterms:W3CDTF">2026-07-17T13:28:48.923Z</dcterms:modified>
</cp:coreProperties>
</file>

<file path=docProps/custom.xml><?xml version="1.0" encoding="utf-8"?>
<Properties xmlns="http://schemas.openxmlformats.org/officeDocument/2006/custom-properties" xmlns:vt="http://schemas.openxmlformats.org/officeDocument/2006/docPropsVTypes"/>
</file>