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A6B8C"/>
          <w:sz w:val="22"/>
          <w:szCs w:val="22"/>
        </w:rPr>
        <w:t xml:space="preserve">TrainMind AI</w:t>
      </w:r>
    </w:p>
    <w:p>
      <w:pPr>
        <w:pStyle w:val="Title"/>
        <w:spacing w:after="100"/>
      </w:pPr>
      <w:r>
        <w:rPr>
          <w:b/>
          <w:bCs/>
        </w:rPr>
        <w:t xml:space="preserve">Privacy Policy</w:t>
      </w:r>
    </w:p>
    <w:p>
      <w:pPr>
        <w:spacing w:after="60"/>
      </w:pPr>
      <w:r>
        <w:rPr>
          <w:i/>
          <w:iCs/>
          <w:color w:val="666666"/>
          <w:sz w:val="20"/>
          <w:szCs w:val="20"/>
        </w:rPr>
        <w:t xml:space="preserve">Last updated: 17 July 2026</w:t>
      </w:r>
    </w:p>
    <w:p>
      <w:pPr>
        <w:pBdr>
          <w:bottom w:val="single" w:color="2E3A59" w:sz="6"/>
        </w:pBdr>
        <w:spacing w:after="260"/>
      </w:pPr>
    </w:p>
    <w:p>
      <w:pPr>
        <w:spacing w:after="140" w:line="300"/>
        <w:jc w:val="both"/>
      </w:pPr>
      <w:r>
        <w:t xml:space="preserve">This Privacy Policy describes how </w:t>
      </w:r>
      <w:r>
        <w:rPr>
          <w:b/>
          <w:bCs/>
        </w:rPr>
        <w:t xml:space="preserve">[COMPANY NAME / OWNER NAME]</w:t>
      </w:r>
      <w:r>
        <w:t xml:space="preserve">, with registered office at </w:t>
      </w:r>
      <w:r>
        <w:rPr>
          <w:b/>
          <w:bCs/>
        </w:rPr>
        <w:t xml:space="preserve">[REGISTERED ADDRESS]</w:t>
      </w:r>
      <w:r>
        <w:t xml:space="preserve"> (the "</w:t>
      </w:r>
      <w:r>
        <w:rPr>
          <w:b/>
          <w:bCs/>
        </w:rPr>
        <w:t xml:space="preserve">Controller</w:t>
      </w:r>
      <w:r>
        <w:t xml:space="preserve">", "</w:t>
      </w:r>
      <w:r>
        <w:rPr>
          <w:b/>
          <w:bCs/>
        </w:rPr>
        <w:t xml:space="preserve">we</w:t>
      </w:r>
      <w:r>
        <w:t xml:space="preserve">"), processes personal data of users of the TrainMind AI platform (the "</w:t>
      </w:r>
      <w:r>
        <w:rPr>
          <w:b/>
          <w:bCs/>
        </w:rPr>
        <w:t xml:space="preserve">Service</w:t>
      </w:r>
      <w:r>
        <w:t xml:space="preserve">"), in accordance with Regulation (EU) 2016/679 ("</w:t>
      </w:r>
      <w:r>
        <w:rPr>
          <w:b/>
          <w:bCs/>
        </w:rPr>
        <w:t xml:space="preserve">GDPR</w:t>
      </w:r>
      <w:r>
        <w:t xml:space="preserve">") and Italian Legislative Decree 196/2003 as amended. Privacy contact: </w:t>
      </w:r>
      <w:r>
        <w:rPr>
          <w:b/>
          <w:bCs/>
        </w:rPr>
        <w:t xml:space="preserve">[PRIVACY CONTACT EMAIL]</w:t>
      </w:r>
      <w:r>
        <w:t xml:space="preserve">.</w:t>
      </w:r>
    </w:p>
    <w:p>
      <w:pPr>
        <w:pStyle w:val="Heading1"/>
        <w:spacing w:after="120" w:before="300"/>
      </w:pPr>
      <w:r>
        <w:t xml:space="preserve">1. Data we process</w:t>
      </w:r>
    </w:p>
    <w:p>
      <w:pPr>
        <w:pStyle w:val="ListParagraph"/>
        <w:numPr>
          <w:ilvl w:val="0"/>
          <w:numId w:val="2"/>
        </w:numPr>
        <w:spacing w:after="80" w:line="300"/>
      </w:pPr>
      <w:r>
        <w:t xml:space="preserve"/>
      </w:r>
      <w:r>
        <w:rPr>
          <w:b/>
          <w:bCs/>
        </w:rPr>
        <w:t xml:space="preserve">Account data</w:t>
      </w:r>
      <w:r>
        <w:t xml:space="preserve">: name, email address, password (hashed), date of birth, role (athlete/coach), profile information.</w:t>
      </w:r>
    </w:p>
    <w:p>
      <w:pPr>
        <w:pStyle w:val="ListParagraph"/>
        <w:numPr>
          <w:ilvl w:val="0"/>
          <w:numId w:val="2"/>
        </w:numPr>
        <w:spacing w:after="80" w:line="300"/>
      </w:pPr>
      <w:r>
        <w:t xml:space="preserve"/>
      </w:r>
      <w:r>
        <w:rPr>
          <w:b/>
          <w:bCs/>
        </w:rPr>
        <w:t xml:space="preserve">Health and fitness data</w:t>
      </w:r>
      <w:r>
        <w:t xml:space="preserve"> (special category, Art. 9 GDPR): training sessions, physical performance, body metrics (e.g. weight, heart rate where provided), perceived exertion, injuries or physical limitations you choose to record.</w:t>
      </w:r>
    </w:p>
    <w:p>
      <w:pPr>
        <w:pStyle w:val="ListParagraph"/>
        <w:numPr>
          <w:ilvl w:val="0"/>
          <w:numId w:val="2"/>
        </w:numPr>
        <w:spacing w:after="80" w:line="300"/>
      </w:pPr>
      <w:r>
        <w:t xml:space="preserve"/>
      </w:r>
      <w:r>
        <w:rPr>
          <w:b/>
          <w:bCs/>
        </w:rPr>
        <w:t xml:space="preserve">Payment data</w:t>
      </w:r>
      <w:r>
        <w:t xml:space="preserve">: subscription plan, transaction history. Full card details are processed directly by our payment provider (e.g. Stripe) and never stored by us.</w:t>
      </w:r>
    </w:p>
    <w:p>
      <w:pPr>
        <w:pStyle w:val="ListParagraph"/>
        <w:numPr>
          <w:ilvl w:val="0"/>
          <w:numId w:val="2"/>
        </w:numPr>
        <w:spacing w:after="80" w:line="300"/>
      </w:pPr>
      <w:r>
        <w:t xml:space="preserve"/>
      </w:r>
      <w:r>
        <w:rPr>
          <w:b/>
          <w:bCs/>
        </w:rPr>
        <w:t xml:space="preserve">Usage and device data</w:t>
      </w:r>
      <w:r>
        <w:t xml:space="preserve">: log data, IP address, device/browser type, app interactions, cookies and similar technologies (see the Cookie Policy).</w:t>
      </w:r>
    </w:p>
    <w:p>
      <w:pPr>
        <w:pStyle w:val="ListParagraph"/>
        <w:numPr>
          <w:ilvl w:val="0"/>
          <w:numId w:val="2"/>
        </w:numPr>
        <w:spacing w:after="80" w:line="300"/>
      </w:pPr>
      <w:r>
        <w:t xml:space="preserve"/>
      </w:r>
      <w:r>
        <w:rPr>
          <w:b/>
          <w:bCs/>
        </w:rPr>
        <w:t xml:space="preserve">Communications</w:t>
      </w:r>
      <w:r>
        <w:t xml:space="preserve">: support requests and correspondence.</w:t>
      </w:r>
    </w:p>
    <w:p>
      <w:pPr>
        <w:pStyle w:val="Heading1"/>
        <w:spacing w:after="120" w:before="300"/>
      </w:pPr>
      <w:r>
        <w:t xml:space="preserve">2. Purposes and legal bases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700"/>
      </w:tblGrid>
      <w:tr>
        <w:trPr>
          <w:tblHeader/>
        </w:trPr>
        <w:tc>
          <w:tcPr>
            <w:tcW w:type="dxa" w:w="3300"/>
            <w:shd w:fill="E8EAF0" w:val="clear"/>
            <w:tcMar>
              <w:top w:type="dxa" w:w="80"/>
              <w:left w:type="dxa" w:w="120"/>
              <w:bottom w:type="dxa" w:w="80"/>
              <w:right w:type="dxa" w:w="120"/>
            </w:tcMar>
          </w:tcPr>
          <w:p>
            <w:pPr>
              <w:spacing w:line="260"/>
            </w:pPr>
            <w:r>
              <w:rPr>
                <w:b/>
                <w:bCs/>
                <w:sz w:val="19"/>
                <w:szCs w:val="19"/>
              </w:rPr>
              <w:t xml:space="preserve">Purpose</w:t>
            </w:r>
          </w:p>
        </w:tc>
        <w:tc>
          <w:tcPr>
            <w:tcW w:type="dxa" w:w="3300"/>
            <w:shd w:fill="E8EAF0" w:val="clear"/>
            <w:tcMar>
              <w:top w:type="dxa" w:w="80"/>
              <w:left w:type="dxa" w:w="120"/>
              <w:bottom w:type="dxa" w:w="80"/>
              <w:right w:type="dxa" w:w="120"/>
            </w:tcMar>
          </w:tcPr>
          <w:p>
            <w:pPr>
              <w:spacing w:line="260"/>
            </w:pPr>
            <w:r>
              <w:rPr>
                <w:b/>
                <w:bCs/>
                <w:sz w:val="19"/>
                <w:szCs w:val="19"/>
              </w:rPr>
              <w:t xml:space="preserve">Data</w:t>
            </w:r>
          </w:p>
        </w:tc>
        <w:tc>
          <w:tcPr>
            <w:tcW w:type="dxa" w:w="2700"/>
            <w:shd w:fill="E8EAF0" w:val="clear"/>
            <w:tcMar>
              <w:top w:type="dxa" w:w="80"/>
              <w:left w:type="dxa" w:w="120"/>
              <w:bottom w:type="dxa" w:w="80"/>
              <w:right w:type="dxa" w:w="120"/>
            </w:tcMar>
          </w:tcPr>
          <w:p>
            <w:pPr>
              <w:spacing w:line="260"/>
            </w:pPr>
            <w:r>
              <w:rPr>
                <w:b/>
                <w:bCs/>
                <w:sz w:val="19"/>
                <w:szCs w:val="19"/>
              </w:rPr>
              <w:t xml:space="preserve">Legal basis (GDPR)</w:t>
            </w:r>
          </w:p>
        </w:tc>
      </w:tr>
      <w:tr>
        <w:tc>
          <w:tcPr>
            <w:tcW w:type="dxa" w:w="3300"/>
            <w:tcMar>
              <w:top w:type="dxa" w:w="80"/>
              <w:left w:type="dxa" w:w="120"/>
              <w:bottom w:type="dxa" w:w="80"/>
              <w:right w:type="dxa" w:w="120"/>
            </w:tcMar>
          </w:tcPr>
          <w:p>
            <w:pPr>
              <w:spacing w:line="260"/>
            </w:pPr>
            <w:r>
              <w:rPr>
                <w:b w:val="false"/>
                <w:bCs w:val="false"/>
                <w:sz w:val="19"/>
                <w:szCs w:val="19"/>
              </w:rPr>
              <w:t xml:space="preserve">Providing the Service: account, training plans, tracking, sync</w:t>
            </w:r>
          </w:p>
        </w:tc>
        <w:tc>
          <w:tcPr>
            <w:tcW w:type="dxa" w:w="3300"/>
            <w:tcMar>
              <w:top w:type="dxa" w:w="80"/>
              <w:left w:type="dxa" w:w="120"/>
              <w:bottom w:type="dxa" w:w="80"/>
              <w:right w:type="dxa" w:w="120"/>
            </w:tcMar>
          </w:tcPr>
          <w:p>
            <w:pPr>
              <w:spacing w:line="260"/>
            </w:pPr>
            <w:r>
              <w:rPr>
                <w:b w:val="false"/>
                <w:bCs w:val="false"/>
                <w:sz w:val="19"/>
                <w:szCs w:val="19"/>
              </w:rPr>
              <w:t xml:space="preserve">Account, usage data</w:t>
            </w:r>
          </w:p>
        </w:tc>
        <w:tc>
          <w:tcPr>
            <w:tcW w:type="dxa" w:w="2700"/>
            <w:tcMar>
              <w:top w:type="dxa" w:w="80"/>
              <w:left w:type="dxa" w:w="120"/>
              <w:bottom w:type="dxa" w:w="80"/>
              <w:right w:type="dxa" w:w="120"/>
            </w:tcMar>
          </w:tcPr>
          <w:p>
            <w:pPr>
              <w:spacing w:line="260"/>
            </w:pPr>
            <w:r>
              <w:rPr>
                <w:b w:val="false"/>
                <w:bCs w:val="false"/>
                <w:sz w:val="19"/>
                <w:szCs w:val="19"/>
              </w:rPr>
              <w:t xml:space="preserve">Art. 6(1)(b) — contract</w:t>
            </w:r>
          </w:p>
        </w:tc>
      </w:tr>
      <w:tr>
        <w:tc>
          <w:tcPr>
            <w:tcW w:type="dxa" w:w="3300"/>
            <w:tcMar>
              <w:top w:type="dxa" w:w="80"/>
              <w:left w:type="dxa" w:w="120"/>
              <w:bottom w:type="dxa" w:w="80"/>
              <w:right w:type="dxa" w:w="120"/>
            </w:tcMar>
          </w:tcPr>
          <w:p>
            <w:pPr>
              <w:spacing w:line="260"/>
            </w:pPr>
            <w:r>
              <w:rPr>
                <w:b w:val="false"/>
                <w:bCs w:val="false"/>
                <w:sz w:val="19"/>
                <w:szCs w:val="19"/>
              </w:rPr>
              <w:t xml:space="preserve">AI-based training suggestions and performance analysis using fitness/health data</w:t>
            </w:r>
          </w:p>
        </w:tc>
        <w:tc>
          <w:tcPr>
            <w:tcW w:type="dxa" w:w="3300"/>
            <w:tcMar>
              <w:top w:type="dxa" w:w="80"/>
              <w:left w:type="dxa" w:w="120"/>
              <w:bottom w:type="dxa" w:w="80"/>
              <w:right w:type="dxa" w:w="120"/>
            </w:tcMar>
          </w:tcPr>
          <w:p>
            <w:pPr>
              <w:spacing w:line="260"/>
            </w:pPr>
            <w:r>
              <w:rPr>
                <w:b w:val="false"/>
                <w:bCs w:val="false"/>
                <w:sz w:val="19"/>
                <w:szCs w:val="19"/>
              </w:rPr>
              <w:t xml:space="preserve">Health &amp; fitness data</w:t>
            </w:r>
          </w:p>
        </w:tc>
        <w:tc>
          <w:tcPr>
            <w:tcW w:type="dxa" w:w="2700"/>
            <w:tcMar>
              <w:top w:type="dxa" w:w="80"/>
              <w:left w:type="dxa" w:w="120"/>
              <w:bottom w:type="dxa" w:w="80"/>
              <w:right w:type="dxa" w:w="120"/>
            </w:tcMar>
          </w:tcPr>
          <w:p>
            <w:pPr>
              <w:spacing w:line="260"/>
            </w:pPr>
            <w:r>
              <w:rPr>
                <w:b w:val="false"/>
                <w:bCs w:val="false"/>
                <w:sz w:val="19"/>
                <w:szCs w:val="19"/>
              </w:rPr>
              <w:t xml:space="preserve">Art. 9(2)(a) — explicit consent</w:t>
            </w:r>
          </w:p>
        </w:tc>
      </w:tr>
      <w:tr>
        <w:tc>
          <w:tcPr>
            <w:tcW w:type="dxa" w:w="3300"/>
            <w:tcMar>
              <w:top w:type="dxa" w:w="80"/>
              <w:left w:type="dxa" w:w="120"/>
              <w:bottom w:type="dxa" w:w="80"/>
              <w:right w:type="dxa" w:w="120"/>
            </w:tcMar>
          </w:tcPr>
          <w:p>
            <w:pPr>
              <w:spacing w:line="260"/>
            </w:pPr>
            <w:r>
              <w:rPr>
                <w:b w:val="false"/>
                <w:bCs w:val="false"/>
                <w:sz w:val="19"/>
                <w:szCs w:val="19"/>
              </w:rPr>
              <w:t xml:space="preserve">Billing and subscription management</w:t>
            </w:r>
          </w:p>
        </w:tc>
        <w:tc>
          <w:tcPr>
            <w:tcW w:type="dxa" w:w="3300"/>
            <w:tcMar>
              <w:top w:type="dxa" w:w="80"/>
              <w:left w:type="dxa" w:w="120"/>
              <w:bottom w:type="dxa" w:w="80"/>
              <w:right w:type="dxa" w:w="120"/>
            </w:tcMar>
          </w:tcPr>
          <w:p>
            <w:pPr>
              <w:spacing w:line="260"/>
            </w:pPr>
            <w:r>
              <w:rPr>
                <w:b w:val="false"/>
                <w:bCs w:val="false"/>
                <w:sz w:val="19"/>
                <w:szCs w:val="19"/>
              </w:rPr>
              <w:t xml:space="preserve">Account, payment data</w:t>
            </w:r>
          </w:p>
        </w:tc>
        <w:tc>
          <w:tcPr>
            <w:tcW w:type="dxa" w:w="2700"/>
            <w:tcMar>
              <w:top w:type="dxa" w:w="80"/>
              <w:left w:type="dxa" w:w="120"/>
              <w:bottom w:type="dxa" w:w="80"/>
              <w:right w:type="dxa" w:w="120"/>
            </w:tcMar>
          </w:tcPr>
          <w:p>
            <w:pPr>
              <w:spacing w:line="260"/>
            </w:pPr>
            <w:r>
              <w:rPr>
                <w:b w:val="false"/>
                <w:bCs w:val="false"/>
                <w:sz w:val="19"/>
                <w:szCs w:val="19"/>
              </w:rPr>
              <w:t xml:space="preserve">Art. 6(1)(b) contract; Art. 6(1)(c) legal obligations</w:t>
            </w:r>
          </w:p>
        </w:tc>
      </w:tr>
      <w:tr>
        <w:tc>
          <w:tcPr>
            <w:tcW w:type="dxa" w:w="3300"/>
            <w:tcMar>
              <w:top w:type="dxa" w:w="80"/>
              <w:left w:type="dxa" w:w="120"/>
              <w:bottom w:type="dxa" w:w="80"/>
              <w:right w:type="dxa" w:w="120"/>
            </w:tcMar>
          </w:tcPr>
          <w:p>
            <w:pPr>
              <w:spacing w:line="260"/>
            </w:pPr>
            <w:r>
              <w:rPr>
                <w:b w:val="false"/>
                <w:bCs w:val="false"/>
                <w:sz w:val="19"/>
                <w:szCs w:val="19"/>
              </w:rPr>
              <w:t xml:space="preserve">Service security, fraud and abuse prevention</w:t>
            </w:r>
          </w:p>
        </w:tc>
        <w:tc>
          <w:tcPr>
            <w:tcW w:type="dxa" w:w="3300"/>
            <w:tcMar>
              <w:top w:type="dxa" w:w="80"/>
              <w:left w:type="dxa" w:w="120"/>
              <w:bottom w:type="dxa" w:w="80"/>
              <w:right w:type="dxa" w:w="120"/>
            </w:tcMar>
          </w:tcPr>
          <w:p>
            <w:pPr>
              <w:spacing w:line="260"/>
            </w:pPr>
            <w:r>
              <w:rPr>
                <w:b w:val="false"/>
                <w:bCs w:val="false"/>
                <w:sz w:val="19"/>
                <w:szCs w:val="19"/>
              </w:rPr>
              <w:t xml:space="preserve">Usage, device data</w:t>
            </w:r>
          </w:p>
        </w:tc>
        <w:tc>
          <w:tcPr>
            <w:tcW w:type="dxa" w:w="2700"/>
            <w:tcMar>
              <w:top w:type="dxa" w:w="80"/>
              <w:left w:type="dxa" w:w="120"/>
              <w:bottom w:type="dxa" w:w="80"/>
              <w:right w:type="dxa" w:w="120"/>
            </w:tcMar>
          </w:tcPr>
          <w:p>
            <w:pPr>
              <w:spacing w:line="260"/>
            </w:pPr>
            <w:r>
              <w:rPr>
                <w:b w:val="false"/>
                <w:bCs w:val="false"/>
                <w:sz w:val="19"/>
                <w:szCs w:val="19"/>
              </w:rPr>
              <w:t xml:space="preserve">Art. 6(1)(f) — legitimate interest</w:t>
            </w:r>
          </w:p>
        </w:tc>
      </w:tr>
      <w:tr>
        <w:tc>
          <w:tcPr>
            <w:tcW w:type="dxa" w:w="3300"/>
            <w:tcMar>
              <w:top w:type="dxa" w:w="80"/>
              <w:left w:type="dxa" w:w="120"/>
              <w:bottom w:type="dxa" w:w="80"/>
              <w:right w:type="dxa" w:w="120"/>
            </w:tcMar>
          </w:tcPr>
          <w:p>
            <w:pPr>
              <w:spacing w:line="260"/>
            </w:pPr>
            <w:r>
              <w:rPr>
                <w:b w:val="false"/>
                <w:bCs w:val="false"/>
                <w:sz w:val="19"/>
                <w:szCs w:val="19"/>
              </w:rPr>
              <w:t xml:space="preserve">Product improvement and aggregate statistics</w:t>
            </w:r>
          </w:p>
        </w:tc>
        <w:tc>
          <w:tcPr>
            <w:tcW w:type="dxa" w:w="3300"/>
            <w:tcMar>
              <w:top w:type="dxa" w:w="80"/>
              <w:left w:type="dxa" w:w="120"/>
              <w:bottom w:type="dxa" w:w="80"/>
              <w:right w:type="dxa" w:w="120"/>
            </w:tcMar>
          </w:tcPr>
          <w:p>
            <w:pPr>
              <w:spacing w:line="260"/>
            </w:pPr>
            <w:r>
              <w:rPr>
                <w:b w:val="false"/>
                <w:bCs w:val="false"/>
                <w:sz w:val="19"/>
                <w:szCs w:val="19"/>
              </w:rPr>
              <w:t xml:space="preserve">Usage data (aggregated/pseudonymised)</w:t>
            </w:r>
          </w:p>
        </w:tc>
        <w:tc>
          <w:tcPr>
            <w:tcW w:type="dxa" w:w="2700"/>
            <w:tcMar>
              <w:top w:type="dxa" w:w="80"/>
              <w:left w:type="dxa" w:w="120"/>
              <w:bottom w:type="dxa" w:w="80"/>
              <w:right w:type="dxa" w:w="120"/>
            </w:tcMar>
          </w:tcPr>
          <w:p>
            <w:pPr>
              <w:spacing w:line="260"/>
            </w:pPr>
            <w:r>
              <w:rPr>
                <w:b w:val="false"/>
                <w:bCs w:val="false"/>
                <w:sz w:val="19"/>
                <w:szCs w:val="19"/>
              </w:rPr>
              <w:t xml:space="preserve">Art. 6(1)(f) — legitimate interest</w:t>
            </w:r>
          </w:p>
        </w:tc>
      </w:tr>
      <w:tr>
        <w:tc>
          <w:tcPr>
            <w:tcW w:type="dxa" w:w="3300"/>
            <w:tcMar>
              <w:top w:type="dxa" w:w="80"/>
              <w:left w:type="dxa" w:w="120"/>
              <w:bottom w:type="dxa" w:w="80"/>
              <w:right w:type="dxa" w:w="120"/>
            </w:tcMar>
          </w:tcPr>
          <w:p>
            <w:pPr>
              <w:spacing w:line="260"/>
            </w:pPr>
            <w:r>
              <w:rPr>
                <w:b w:val="false"/>
                <w:bCs w:val="false"/>
                <w:sz w:val="19"/>
                <w:szCs w:val="19"/>
              </w:rPr>
              <w:t xml:space="preserve">Marketing communications (newsletter, offers)</w:t>
            </w:r>
          </w:p>
        </w:tc>
        <w:tc>
          <w:tcPr>
            <w:tcW w:type="dxa" w:w="3300"/>
            <w:tcMar>
              <w:top w:type="dxa" w:w="80"/>
              <w:left w:type="dxa" w:w="120"/>
              <w:bottom w:type="dxa" w:w="80"/>
              <w:right w:type="dxa" w:w="120"/>
            </w:tcMar>
          </w:tcPr>
          <w:p>
            <w:pPr>
              <w:spacing w:line="260"/>
            </w:pPr>
            <w:r>
              <w:rPr>
                <w:b w:val="false"/>
                <w:bCs w:val="false"/>
                <w:sz w:val="19"/>
                <w:szCs w:val="19"/>
              </w:rPr>
              <w:t xml:space="preserve">Email, account data</w:t>
            </w:r>
          </w:p>
        </w:tc>
        <w:tc>
          <w:tcPr>
            <w:tcW w:type="dxa" w:w="2700"/>
            <w:tcMar>
              <w:top w:type="dxa" w:w="80"/>
              <w:left w:type="dxa" w:w="120"/>
              <w:bottom w:type="dxa" w:w="80"/>
              <w:right w:type="dxa" w:w="120"/>
            </w:tcMar>
          </w:tcPr>
          <w:p>
            <w:pPr>
              <w:spacing w:line="260"/>
            </w:pPr>
            <w:r>
              <w:rPr>
                <w:b w:val="false"/>
                <w:bCs w:val="false"/>
                <w:sz w:val="19"/>
                <w:szCs w:val="19"/>
              </w:rPr>
              <w:t xml:space="preserve">Art. 6(1)(a) — consent (revocable at any time)</w:t>
            </w:r>
          </w:p>
        </w:tc>
      </w:tr>
      <w:tr>
        <w:tc>
          <w:tcPr>
            <w:tcW w:type="dxa" w:w="3300"/>
            <w:tcMar>
              <w:top w:type="dxa" w:w="80"/>
              <w:left w:type="dxa" w:w="120"/>
              <w:bottom w:type="dxa" w:w="80"/>
              <w:right w:type="dxa" w:w="120"/>
            </w:tcMar>
          </w:tcPr>
          <w:p>
            <w:pPr>
              <w:spacing w:line="260"/>
            </w:pPr>
            <w:r>
              <w:rPr>
                <w:b w:val="false"/>
                <w:bCs w:val="false"/>
                <w:sz w:val="19"/>
                <w:szCs w:val="19"/>
              </w:rPr>
              <w:t xml:space="preserve">Analytics and marketing cookies</w:t>
            </w:r>
          </w:p>
        </w:tc>
        <w:tc>
          <w:tcPr>
            <w:tcW w:type="dxa" w:w="3300"/>
            <w:tcMar>
              <w:top w:type="dxa" w:w="80"/>
              <w:left w:type="dxa" w:w="120"/>
              <w:bottom w:type="dxa" w:w="80"/>
              <w:right w:type="dxa" w:w="120"/>
            </w:tcMar>
          </w:tcPr>
          <w:p>
            <w:pPr>
              <w:spacing w:line="260"/>
            </w:pPr>
            <w:r>
              <w:rPr>
                <w:b w:val="false"/>
                <w:bCs w:val="false"/>
                <w:sz w:val="19"/>
                <w:szCs w:val="19"/>
              </w:rPr>
              <w:t xml:space="preserve">Cookie/device data</w:t>
            </w:r>
          </w:p>
        </w:tc>
        <w:tc>
          <w:tcPr>
            <w:tcW w:type="dxa" w:w="2700"/>
            <w:tcMar>
              <w:top w:type="dxa" w:w="80"/>
              <w:left w:type="dxa" w:w="120"/>
              <w:bottom w:type="dxa" w:w="80"/>
              <w:right w:type="dxa" w:w="120"/>
            </w:tcMar>
          </w:tcPr>
          <w:p>
            <w:pPr>
              <w:spacing w:line="260"/>
            </w:pPr>
            <w:r>
              <w:rPr>
                <w:b w:val="false"/>
                <w:bCs w:val="false"/>
                <w:sz w:val="19"/>
                <w:szCs w:val="19"/>
              </w:rPr>
              <w:t xml:space="preserve">Consent (see Cookie Policy)</w:t>
            </w:r>
          </w:p>
        </w:tc>
      </w:tr>
      <w:tr>
        <w:tc>
          <w:tcPr>
            <w:tcW w:type="dxa" w:w="3300"/>
            <w:tcMar>
              <w:top w:type="dxa" w:w="80"/>
              <w:left w:type="dxa" w:w="120"/>
              <w:bottom w:type="dxa" w:w="80"/>
              <w:right w:type="dxa" w:w="120"/>
            </w:tcMar>
          </w:tcPr>
          <w:p>
            <w:pPr>
              <w:spacing w:line="260"/>
            </w:pPr>
            <w:r>
              <w:rPr>
                <w:b w:val="false"/>
                <w:bCs w:val="false"/>
                <w:sz w:val="19"/>
                <w:szCs w:val="19"/>
              </w:rPr>
              <w:t xml:space="preserve">Compliance with legal obligations (tax, accounting, requests from authorities)</w:t>
            </w:r>
          </w:p>
        </w:tc>
        <w:tc>
          <w:tcPr>
            <w:tcW w:type="dxa" w:w="3300"/>
            <w:tcMar>
              <w:top w:type="dxa" w:w="80"/>
              <w:left w:type="dxa" w:w="120"/>
              <w:bottom w:type="dxa" w:w="80"/>
              <w:right w:type="dxa" w:w="120"/>
            </w:tcMar>
          </w:tcPr>
          <w:p>
            <w:pPr>
              <w:spacing w:line="260"/>
            </w:pPr>
            <w:r>
              <w:rPr>
                <w:b w:val="false"/>
                <w:bCs w:val="false"/>
                <w:sz w:val="19"/>
                <w:szCs w:val="19"/>
              </w:rPr>
              <w:t xml:space="preserve">Account, payment data</w:t>
            </w:r>
          </w:p>
        </w:tc>
        <w:tc>
          <w:tcPr>
            <w:tcW w:type="dxa" w:w="2700"/>
            <w:tcMar>
              <w:top w:type="dxa" w:w="80"/>
              <w:left w:type="dxa" w:w="120"/>
              <w:bottom w:type="dxa" w:w="80"/>
              <w:right w:type="dxa" w:w="120"/>
            </w:tcMar>
          </w:tcPr>
          <w:p>
            <w:pPr>
              <w:spacing w:line="260"/>
            </w:pPr>
            <w:r>
              <w:rPr>
                <w:b w:val="false"/>
                <w:bCs w:val="false"/>
                <w:sz w:val="19"/>
                <w:szCs w:val="19"/>
              </w:rPr>
              <w:t xml:space="preserve">Art. 6(1)(c) — legal obligation</w:t>
            </w:r>
          </w:p>
        </w:tc>
      </w:tr>
    </w:tbl>
    <w:p>
      <w:pPr>
        <w:spacing w:after="140"/>
      </w:pPr>
    </w:p>
    <w:p>
      <w:pPr>
        <w:spacing w:after="140" w:line="300"/>
        <w:jc w:val="both"/>
      </w:pPr>
      <w:r>
        <w:t xml:space="preserve"/>
      </w:r>
      <w:r>
        <w:rPr>
          <w:b/>
          <w:bCs/>
        </w:rPr>
        <w:t xml:space="preserve">Health and fitness data are processed only with your explicit consent</w:t>
      </w:r>
      <w:r>
        <w:t xml:space="preserve">, requested at registration or when you activate the relevant features. You may withdraw consent at any time from your account settings or by writing to </w:t>
      </w:r>
      <w:r>
        <w:rPr>
          <w:b/>
          <w:bCs/>
        </w:rPr>
        <w:t xml:space="preserve">[PRIVACY CONTACT EMAIL]</w:t>
      </w:r>
      <w:r>
        <w:t xml:space="preserve">; withdrawal does not affect processing carried out before withdrawal, but some features (e.g. AI training plans) will no longer be available.</w:t>
      </w:r>
    </w:p>
    <w:p>
      <w:pPr>
        <w:pStyle w:val="Heading1"/>
        <w:spacing w:after="120" w:before="300"/>
      </w:pPr>
      <w:r>
        <w:t xml:space="preserve">3. AI processing and automated decision-making</w:t>
      </w:r>
    </w:p>
    <w:p>
      <w:pPr>
        <w:spacing w:after="140" w:line="300"/>
        <w:jc w:val="both"/>
      </w:pPr>
      <w:r>
        <w:t xml:space="preserve">The Service uses AI models to generate training suggestions and analyses from your data. This constitutes a form of profiling limited to sports/fitness purposes. </w:t>
      </w:r>
      <w:r>
        <w:rPr>
          <w:b/>
          <w:bCs/>
        </w:rPr>
        <w:t xml:space="preserve">No decision producing legal effects or similarly significant effects on you is taken solely by automated means</w:t>
      </w:r>
      <w:r>
        <w:t xml:space="preserve"> within the meaning of Art. 22 GDPR: AI outputs are suggestions that you (or your coach) remain free to accept, modify or ignore. Where third-party AI providers are used, they act as processors under Art. 28 GDPR and are contractually prohibited from using your data to train their models, or data is minimised/pseudonymised before submission. You may request human review of, or contest, any output that significantly affects you by contacting </w:t>
      </w:r>
      <w:r>
        <w:rPr>
          <w:b/>
          <w:bCs/>
        </w:rPr>
        <w:t xml:space="preserve">[PRIVACY CONTACT EMAIL]</w:t>
      </w:r>
      <w:r>
        <w:t xml:space="preserve">.</w:t>
      </w:r>
    </w:p>
    <w:p>
      <w:pPr>
        <w:spacing w:after="140" w:line="300"/>
        <w:jc w:val="both"/>
      </w:pPr>
      <w:r>
        <w:t xml:space="preserve"/>
      </w:r>
      <w:r>
        <w:rPr>
          <w:b/>
          <w:bCs/>
        </w:rPr>
        <w:t xml:space="preserve">EU AI Act (Regulation (EU) 2024/1689).</w:t>
      </w:r>
      <w:r>
        <w:t xml:space="preserve"> The AI features of the Service fall within the transparency regime of Article 50 of the AI Act, applicable from 2 August 2026: you are informed when you interact with an AI system, and AI-generated content is identified as such within the Service. Based on our assessment, the Service is </w:t>
      </w:r>
      <w:r>
        <w:rPr>
          <w:b/>
          <w:bCs/>
        </w:rPr>
        <w:t xml:space="preserve">not a high-risk AI system</w:t>
      </w:r>
      <w:r>
        <w:t xml:space="preserve"> under Annex III of the AI Act, does not perform emotion recognition or biometric categorisation, and does not engage in any practice prohibited under Article 5. Human oversight of AI outputs is ensured as described above. This assessment is documented and kept under review in light of European Commission guidance and subsequent amendments (including the 2026 "AI Digital Omnibus" regulation).</w:t>
      </w:r>
    </w:p>
    <w:p>
      <w:pPr>
        <w:pStyle w:val="Heading1"/>
        <w:spacing w:after="120" w:before="300"/>
      </w:pPr>
      <w:r>
        <w:t xml:space="preserve">4. Recipients</w:t>
      </w:r>
    </w:p>
    <w:p>
      <w:pPr>
        <w:spacing w:after="140" w:line="300"/>
        <w:jc w:val="both"/>
      </w:pPr>
      <w:r>
        <w:t xml:space="preserve">Data may be shared with: (i) technical suppliers acting as processors (hosting and cloud infrastructure, e.g. </w:t>
      </w:r>
      <w:r>
        <w:rPr>
          <w:b/>
          <w:bCs/>
        </w:rPr>
        <w:t xml:space="preserve">[HOSTING PROVIDER]</w:t>
      </w:r>
      <w:r>
        <w:t xml:space="preserve">; email delivery; payment processing, e.g. Stripe; analytics; AI model providers, e.g. </w:t>
      </w:r>
      <w:r>
        <w:rPr>
          <w:b/>
          <w:bCs/>
        </w:rPr>
        <w:t xml:space="preserve">[AI PROVIDER(S)]</w:t>
      </w:r>
      <w:r>
        <w:t xml:space="preserve">); (ii) coaches or team staff you explicitly connect with through the Service; (iii) competent authorities where required by law; (iv) professional advisors. An updated list of processors is available on request at </w:t>
      </w:r>
      <w:r>
        <w:rPr>
          <w:b/>
          <w:bCs/>
        </w:rPr>
        <w:t xml:space="preserve">[PRIVACY CONTACT EMAIL]</w:t>
      </w:r>
      <w:r>
        <w:t xml:space="preserve">. We do not sell your personal data.</w:t>
      </w:r>
    </w:p>
    <w:p>
      <w:pPr>
        <w:pStyle w:val="Heading1"/>
        <w:spacing w:after="120" w:before="300"/>
      </w:pPr>
      <w:r>
        <w:t xml:space="preserve">5. Transfers outside the EEA</w:t>
      </w:r>
    </w:p>
    <w:p>
      <w:pPr>
        <w:spacing w:after="140" w:line="300"/>
        <w:jc w:val="both"/>
      </w:pPr>
      <w:r>
        <w:t xml:space="preserve">Some suppliers may be located outside the European Economic Area (e.g. in the United States). In such cases transfers take place on the basis of an adequacy decision of the European Commission (including the EU-U.S. Data Privacy Framework, where the recipient is certified) or Standard Contractual Clauses under Art. 46 GDPR, with supplementary measures where needed. Copies of the safeguards are available on request.</w:t>
      </w:r>
    </w:p>
    <w:p>
      <w:pPr>
        <w:pStyle w:val="Heading1"/>
        <w:spacing w:after="120" w:before="300"/>
      </w:pPr>
      <w:r>
        <w:t xml:space="preserve">6. Retention</w:t>
      </w:r>
    </w:p>
    <w:p>
      <w:pPr>
        <w:pStyle w:val="ListParagraph"/>
        <w:numPr>
          <w:ilvl w:val="0"/>
          <w:numId w:val="2"/>
        </w:numPr>
        <w:spacing w:after="80" w:line="300"/>
      </w:pPr>
      <w:r>
        <w:t xml:space="preserve">Account and profile data: for as long as the account is active, then deleted or anonymised within </w:t>
      </w:r>
      <w:r>
        <w:rPr>
          <w:b/>
          <w:bCs/>
        </w:rPr>
        <w:t xml:space="preserve">[e.g. 30 days]</w:t>
      </w:r>
      <w:r>
        <w:t xml:space="preserve"> of deletion.</w:t>
      </w:r>
    </w:p>
    <w:p>
      <w:pPr>
        <w:pStyle w:val="ListParagraph"/>
        <w:numPr>
          <w:ilvl w:val="0"/>
          <w:numId w:val="2"/>
        </w:numPr>
        <w:spacing w:after="80" w:line="300"/>
      </w:pPr>
      <w:r>
        <w:t xml:space="preserve">Health and fitness data: until consent is withdrawn or the account is deleted, then deleted or irreversibly anonymised.</w:t>
      </w:r>
    </w:p>
    <w:p>
      <w:pPr>
        <w:pStyle w:val="ListParagraph"/>
        <w:numPr>
          <w:ilvl w:val="0"/>
          <w:numId w:val="2"/>
        </w:numPr>
        <w:spacing w:after="80" w:line="300"/>
      </w:pPr>
      <w:r>
        <w:t xml:space="preserve">Billing and tax records: 10 years (Italian legal obligation).</w:t>
      </w:r>
    </w:p>
    <w:p>
      <w:pPr>
        <w:pStyle w:val="ListParagraph"/>
        <w:numPr>
          <w:ilvl w:val="0"/>
          <w:numId w:val="2"/>
        </w:numPr>
        <w:spacing w:after="80" w:line="300"/>
      </w:pPr>
      <w:r>
        <w:t xml:space="preserve">Security logs: up to </w:t>
      </w:r>
      <w:r>
        <w:rPr>
          <w:b/>
          <w:bCs/>
        </w:rPr>
        <w:t xml:space="preserve">[e.g. 12 months]</w:t>
      </w:r>
      <w:r>
        <w:t xml:space="preserve">.</w:t>
      </w:r>
    </w:p>
    <w:p>
      <w:pPr>
        <w:pStyle w:val="ListParagraph"/>
        <w:numPr>
          <w:ilvl w:val="0"/>
          <w:numId w:val="2"/>
        </w:numPr>
        <w:spacing w:after="80" w:line="300"/>
      </w:pPr>
      <w:r>
        <w:t xml:space="preserve">Marketing consents and contact data: until consent is withdrawn or after prolonged inactivity.</w:t>
      </w:r>
    </w:p>
    <w:p>
      <w:pPr>
        <w:pStyle w:val="Heading1"/>
        <w:spacing w:after="120" w:before="300"/>
      </w:pPr>
      <w:r>
        <w:t xml:space="preserve">7. Your rights</w:t>
      </w:r>
    </w:p>
    <w:p>
      <w:pPr>
        <w:spacing w:after="140" w:line="300"/>
        <w:jc w:val="both"/>
      </w:pPr>
      <w:r>
        <w:t xml:space="preserve">Under Arts. 15–22 GDPR you have the right to: access your data; obtain rectification or erasure; restrict processing; object to processing based on legitimate interest; receive your data in a portable format (data portability); withdraw consent at any time without affecting prior processing. To exercise your rights, write to </w:t>
      </w:r>
      <w:r>
        <w:rPr>
          <w:b/>
          <w:bCs/>
        </w:rPr>
        <w:t xml:space="preserve">[PRIVACY CONTACT EMAIL]</w:t>
      </w:r>
      <w:r>
        <w:t xml:space="preserve">. We reply within one month (extendable in complex cases).</w:t>
      </w:r>
    </w:p>
    <w:p>
      <w:pPr>
        <w:spacing w:after="140" w:line="300"/>
        <w:jc w:val="both"/>
      </w:pPr>
      <w:r>
        <w:t xml:space="preserve">You also have the right to lodge a complaint with the Italian supervisory authority, the </w:t>
      </w:r>
      <w:r>
        <w:rPr>
          <w:b/>
          <w:bCs/>
        </w:rPr>
        <w:t xml:space="preserve">Garante per la protezione dei dati personali</w:t>
      </w:r>
      <w:r>
        <w:t xml:space="preserve"> (www.garanteprivacy.it), or the supervisory authority of your place of residence.</w:t>
      </w:r>
    </w:p>
    <w:p>
      <w:pPr>
        <w:pStyle w:val="Heading1"/>
        <w:spacing w:after="120" w:before="300"/>
      </w:pPr>
      <w:r>
        <w:t xml:space="preserve">8. Minors</w:t>
      </w:r>
    </w:p>
    <w:p>
      <w:pPr>
        <w:spacing w:after="140" w:line="300"/>
        <w:jc w:val="both"/>
      </w:pPr>
      <w:r>
        <w:t xml:space="preserve">The Service is intended for users aged </w:t>
      </w:r>
      <w:r>
        <w:rPr>
          <w:b/>
          <w:bCs/>
        </w:rPr>
        <w:t xml:space="preserve">14 or over</w:t>
      </w:r>
      <w:r>
        <w:t xml:space="preserve">. In Italy, users aged 14 or over may validly consent to the processing of their personal data in relation to information society services (Art. 2-quinquies, Legislative Decree 196/2003). For users under 18, health/fitness data processing consent and any contractual acceptance may additionally require a parent or guardian, as described at registration. If we become aware of data collected from a child under 14 without valid parental consent, we will delete it.</w:t>
      </w:r>
    </w:p>
    <w:p>
      <w:pPr>
        <w:pStyle w:val="Heading1"/>
        <w:spacing w:after="120" w:before="300"/>
      </w:pPr>
      <w:r>
        <w:t xml:space="preserve">9. Security</w:t>
      </w:r>
    </w:p>
    <w:p>
      <w:pPr>
        <w:spacing w:after="140" w:line="300"/>
        <w:jc w:val="both"/>
      </w:pPr>
      <w:r>
        <w:t xml:space="preserve">We apply appropriate technical and organisational measures (Art. 32 GDPR), including encryption in transit, hashed passwords, access controls, backups, environment segregation and logging. No system is completely secure; in case of a personal data breach we will act in accordance with Arts. 33–34 GDPR.</w:t>
      </w:r>
    </w:p>
    <w:p>
      <w:pPr>
        <w:pStyle w:val="Heading1"/>
        <w:spacing w:after="120" w:before="300"/>
      </w:pPr>
      <w:r>
        <w:t xml:space="preserve">10. Changes</w:t>
      </w:r>
    </w:p>
    <w:p>
      <w:pPr>
        <w:spacing w:after="140" w:line="300"/>
        <w:jc w:val="both"/>
      </w:pPr>
      <w:r>
        <w:t xml:space="preserve">We may update this Policy; material changes will be notified via the Service or by email. The date at the top indicates the latest version.</w:t>
      </w:r>
    </w:p>
    <w:p>
      <w:pPr>
        <w:pStyle w:val="Heading1"/>
        <w:spacing w:after="120" w:before="300"/>
      </w:pPr>
      <w:r>
        <w:t xml:space="preserve">11. Contact</w:t>
      </w:r>
    </w:p>
    <w:p>
      <w:pPr>
        <w:spacing w:after="140" w:line="300"/>
        <w:jc w:val="both"/>
      </w:pPr>
      <w:r>
        <w:t xml:space="preserve">Controller: </w:t>
      </w:r>
      <w:r>
        <w:rPr>
          <w:b/>
          <w:bCs/>
        </w:rPr>
        <w:t xml:space="preserve">[COMPANY NAME / OWNER NAME]</w:t>
      </w:r>
      <w:r>
        <w:t xml:space="preserve"> — </w:t>
      </w:r>
      <w:r>
        <w:rPr>
          <w:b/>
          <w:bCs/>
        </w:rPr>
        <w:t xml:space="preserve">[REGISTERED ADDRESS]</w:t>
      </w:r>
      <w:r>
        <w:t xml:space="preserve"> — </w:t>
      </w:r>
      <w:r>
        <w:rPr>
          <w:b/>
          <w:bCs/>
        </w:rPr>
        <w:t xml:space="preserve">[PRIVACY CONTACT EMAIL]</w:t>
      </w:r>
      <w:r>
        <w:t xml:space="preserve">. </w:t>
      </w:r>
      <w:r>
        <w:rPr>
          <w:b/>
          <w:bCs/>
        </w:rPr>
        <w:t xml:space="preserve">[If appointed: DPO contact details.]</w:t>
      </w:r>
      <w:r>
        <w:t xml:space="preserve"/>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rFonts w:ascii="Calibri" w:cs="Calibri" w:eastAsia="Calibri" w:hAnsi="Calibri"/>
      <w:b/>
      <w:bCs/>
      <w:color w:val="1F2A44"/>
      <w:sz w:val="40"/>
      <w:szCs w:val="40"/>
    </w:rPr>
  </w:style>
  <w:style w:type="paragraph" w:styleId="Heading1">
    <w:name w:val="Heading 1"/>
    <w:basedOn w:val="Normal"/>
    <w:next w:val="Normal"/>
    <w:qFormat/>
    <w:rPr>
      <w:rFonts w:ascii="Calibri" w:cs="Calibri" w:eastAsia="Calibri" w:hAnsi="Calibri"/>
      <w:b/>
      <w:bCs/>
      <w:color w:val="2E3A59"/>
      <w:sz w:val="26"/>
      <w:szCs w:val="26"/>
    </w:rPr>
  </w:style>
  <w:style w:type="paragraph" w:styleId="Heading2">
    <w:name w:val="Heading 2"/>
    <w:basedOn w:val="Normal"/>
    <w:next w:val="Normal"/>
    <w:qFormat/>
    <w:rPr>
      <w:rFonts w:ascii="Calibri" w:cs="Calibri" w:eastAsia="Calibri" w:hAnsi="Calibri"/>
      <w:b/>
      <w:bCs/>
      <w:color w:val="3D4E73"/>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2026-07-17T13:10:21.648Z</dcterms:created>
  <dcterms:modified xsi:type="dcterms:W3CDTF">2026-07-17T13:10:21.648Z</dcterms:modified>
</cp:coreProperties>
</file>

<file path=docProps/custom.xml><?xml version="1.0" encoding="utf-8"?>
<Properties xmlns="http://schemas.openxmlformats.org/officeDocument/2006/custom-properties" xmlns:vt="http://schemas.openxmlformats.org/officeDocument/2006/docPropsVTypes"/>
</file>