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5A6B8C"/>
          <w:sz w:val="22"/>
          <w:szCs w:val="22"/>
        </w:rPr>
        <w:t xml:space="preserve">TrainMind AI</w:t>
      </w:r>
    </w:p>
    <w:p>
      <w:pPr>
        <w:pStyle w:val="Title"/>
        <w:spacing w:after="100"/>
      </w:pPr>
      <w:r>
        <w:rPr>
          <w:b/>
          <w:bCs/>
        </w:rPr>
        <w:t xml:space="preserve">Cookie Policy</w:t>
      </w:r>
    </w:p>
    <w:p>
      <w:pPr>
        <w:spacing w:after="60"/>
      </w:pPr>
      <w:r>
        <w:rPr>
          <w:i/>
          <w:iCs/>
          <w:color w:val="666666"/>
          <w:sz w:val="20"/>
          <w:szCs w:val="20"/>
        </w:rPr>
        <w:t xml:space="preserve">Ultimo aggiornamento: 21 luglio 2026 · Versione 2.0</w:t>
      </w:r>
    </w:p>
    <w:p>
      <w:pPr>
        <w:pBdr>
          <w:bottom w:val="single" w:color="2E3A59" w:sz="6"/>
        </w:pBdr>
        <w:spacing w:after="260"/>
      </w:pPr>
    </w:p>
    <w:p>
      <w:pPr>
        <w:pStyle w:val="Heading2"/>
        <w:spacing w:after="100" w:before="220"/>
      </w:pPr>
      <w:r>
        <w:t xml:space="preserve">In breve</w:t>
      </w:r>
    </w:p>
    <w:p>
      <w:pPr>
        <w:pStyle w:val="ListParagraph"/>
        <w:numPr>
          <w:ilvl w:val="0"/>
          <w:numId w:val="2"/>
        </w:numPr>
        <w:spacing w:after="80" w:line="300"/>
      </w:pPr>
      <w:r>
        <w:t xml:space="preserve">Usiamo cookie tecnici (necessari) senza consenso, e cookie analitici/marketing solo se acconsenti.</w:t>
      </w:r>
    </w:p>
    <w:p>
      <w:pPr>
        <w:pStyle w:val="ListParagraph"/>
        <w:numPr>
          <w:ilvl w:val="0"/>
          <w:numId w:val="2"/>
        </w:numPr>
        <w:spacing w:after="80" w:line="300"/>
      </w:pPr>
      <w:r>
        <w:t xml:space="preserve">Puoi cambiare idea in ogni momento dal link "Preferenze cookie" nel footer.</w:t>
      </w:r>
    </w:p>
    <w:p>
      <w:pPr>
        <w:pStyle w:val="ListParagraph"/>
        <w:numPr>
          <w:ilvl w:val="0"/>
          <w:numId w:val="2"/>
        </w:numPr>
        <w:spacing w:after="80" w:line="300"/>
      </w:pPr>
      <w:r>
        <w:t xml:space="preserve">Registriamo le tue scelte come prova del consenso.</w:t>
      </w:r>
    </w:p>
    <w:p>
      <w:pPr>
        <w:spacing w:after="140" w:line="300"/>
        <w:jc w:val="both"/>
      </w:pPr>
      <w:r>
        <w:t xml:space="preserve">La presente Cookie Policy illustra come </w:t>
      </w:r>
      <w:r>
        <w:rPr>
          <w:b/>
          <w:bCs/>
        </w:rPr>
        <w:t xml:space="preserve">[RAGIONE SOCIALE / NOME TITOLARE]</w:t>
      </w:r>
      <w:r>
        <w:t xml:space="preserve"> (il "</w:t>
      </w:r>
      <w:r>
        <w:rPr>
          <w:b/>
          <w:bCs/>
        </w:rPr>
        <w:t xml:space="preserve">Titolare</w:t>
      </w:r>
      <w:r>
        <w:t xml:space="preserve">") utilizza cookie e tecnologie simili (local storage, pixel, SDK) sul sito web e sulle applicazioni TrainMind AI, in conformità al GDPR, all'art. 122 del D.lgs. 196/2003 e alle Linee guida del Garante per la protezione dei dati personali sui cookie del 10 giugno 2021.</w:t>
      </w:r>
    </w:p>
    <w:p>
      <w:pPr>
        <w:spacing w:after="140" w:line="300"/>
        <w:jc w:val="both"/>
      </w:pPr>
      <w:r>
        <w:t xml:space="preserve">La versione italiana è la </w:t>
      </w:r>
      <w:r>
        <w:rPr>
          <w:b/>
          <w:bCs/>
        </w:rPr>
        <w:t xml:space="preserve">versione ufficiale</w:t>
      </w:r>
      <w:r>
        <w:t xml:space="preserve"> e prevale su qualsiasi traduzione in caso di discrepanza.</w:t>
      </w:r>
    </w:p>
    <w:p>
      <w:pPr>
        <w:pStyle w:val="Heading1"/>
        <w:spacing w:after="120" w:before="300"/>
      </w:pPr>
      <w:r>
        <w:t xml:space="preserve">1. Cosa sono i cookie</w:t>
      </w:r>
    </w:p>
    <w:p>
      <w:pPr>
        <w:spacing w:after="140" w:line="300"/>
        <w:jc w:val="both"/>
      </w:pPr>
      <w:r>
        <w:t xml:space="preserve">I cookie sono piccoli file di testo che i siti web memorizzano sul tuo dispositivo. Tecnologie simili (come localStorage o pixel di tracciamento) svolgono funzioni analoghe; la presente Policy le ricomprende tutte nel termine "cookie".</w:t>
      </w:r>
    </w:p>
    <w:p>
      <w:pPr>
        <w:pStyle w:val="Heading1"/>
        <w:spacing w:after="120" w:before="300"/>
      </w:pPr>
      <w:r>
        <w:t xml:space="preserve">2. Categorie utilizzate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2700"/>
      </w:tblGrid>
      <w:tr>
        <w:trPr>
          <w:tblHeader/>
        </w:trPr>
        <w:tc>
          <w:tcPr>
            <w:tcW w:type="dxa" w:w="2200"/>
            <w:shd w:fill="E8EAF0" w:val="clear"/>
            <w:tcMar>
              <w:top w:type="dxa" w:w="80"/>
              <w:left w:type="dxa" w:w="120"/>
              <w:bottom w:type="dxa" w:w="80"/>
              <w:right w:type="dxa" w:w="120"/>
            </w:tcMar>
          </w:tcPr>
          <w:p>
            <w:pPr>
              <w:spacing w:line="260"/>
            </w:pPr>
            <w:r>
              <w:rPr>
                <w:b/>
                <w:bCs/>
                <w:sz w:val="19"/>
                <w:szCs w:val="19"/>
              </w:rPr>
              <w:t xml:space="preserve">Categoria</w:t>
            </w:r>
          </w:p>
        </w:tc>
        <w:tc>
          <w:tcPr>
            <w:tcW w:type="dxa" w:w="4400"/>
            <w:shd w:fill="E8EAF0" w:val="clear"/>
            <w:tcMar>
              <w:top w:type="dxa" w:w="80"/>
              <w:left w:type="dxa" w:w="120"/>
              <w:bottom w:type="dxa" w:w="80"/>
              <w:right w:type="dxa" w:w="120"/>
            </w:tcMar>
          </w:tcPr>
          <w:p>
            <w:pPr>
              <w:spacing w:line="260"/>
            </w:pPr>
            <w:r>
              <w:rPr>
                <w:b/>
                <w:bCs/>
                <w:sz w:val="19"/>
                <w:szCs w:val="19"/>
              </w:rPr>
              <w:t xml:space="preserve">Finalità</w:t>
            </w:r>
          </w:p>
        </w:tc>
        <w:tc>
          <w:tcPr>
            <w:tcW w:type="dxa" w:w="2700"/>
            <w:shd w:fill="E8EAF0" w:val="clear"/>
            <w:tcMar>
              <w:top w:type="dxa" w:w="80"/>
              <w:left w:type="dxa" w:w="120"/>
              <w:bottom w:type="dxa" w:w="80"/>
              <w:right w:type="dxa" w:w="120"/>
            </w:tcMar>
          </w:tcPr>
          <w:p>
            <w:pPr>
              <w:spacing w:line="260"/>
            </w:pPr>
            <w:r>
              <w:rPr>
                <w:b/>
                <w:bCs/>
                <w:sz w:val="19"/>
                <w:szCs w:val="19"/>
              </w:rPr>
              <w:t xml:space="preserve">Base giuridica</w:t>
            </w:r>
          </w:p>
        </w:tc>
      </w:tr>
      <w:tr>
        <w:tc>
          <w:tcPr>
            <w:tcW w:type="dxa" w:w="2200"/>
            <w:tcMar>
              <w:top w:type="dxa" w:w="80"/>
              <w:left w:type="dxa" w:w="120"/>
              <w:bottom w:type="dxa" w:w="80"/>
              <w:right w:type="dxa" w:w="120"/>
            </w:tcMar>
          </w:tcPr>
          <w:p>
            <w:pPr>
              <w:spacing w:line="260"/>
            </w:pPr>
            <w:r>
              <w:rPr>
                <w:b w:val="false"/>
                <w:bCs w:val="false"/>
                <w:sz w:val="19"/>
                <w:szCs w:val="19"/>
              </w:rPr>
              <w:t xml:space="preserve">Tecnici / strettamente necessari</w:t>
            </w:r>
          </w:p>
        </w:tc>
        <w:tc>
          <w:tcPr>
            <w:tcW w:type="dxa" w:w="4400"/>
            <w:tcMar>
              <w:top w:type="dxa" w:w="80"/>
              <w:left w:type="dxa" w:w="120"/>
              <w:bottom w:type="dxa" w:w="80"/>
              <w:right w:type="dxa" w:w="120"/>
            </w:tcMar>
          </w:tcPr>
          <w:p>
            <w:pPr>
              <w:spacing w:line="260"/>
            </w:pPr>
            <w:r>
              <w:rPr>
                <w:b w:val="false"/>
                <w:bCs w:val="false"/>
                <w:sz w:val="19"/>
                <w:szCs w:val="19"/>
              </w:rPr>
              <w:t xml:space="preserve">Autenticazione, gestione della sessione, sicurezza, bilanciamento del carico, memorizzazione delle preferenze essenziali (es. lingua, scelte cookie). Senza di essi il Servizio non può funzionare.</w:t>
            </w:r>
          </w:p>
        </w:tc>
        <w:tc>
          <w:tcPr>
            <w:tcW w:type="dxa" w:w="2700"/>
            <w:tcMar>
              <w:top w:type="dxa" w:w="80"/>
              <w:left w:type="dxa" w:w="120"/>
              <w:bottom w:type="dxa" w:w="80"/>
              <w:right w:type="dxa" w:w="120"/>
            </w:tcMar>
          </w:tcPr>
          <w:p>
            <w:pPr>
              <w:spacing w:line="260"/>
            </w:pPr>
            <w:r>
              <w:rPr>
                <w:b w:val="false"/>
                <w:bCs w:val="false"/>
                <w:sz w:val="19"/>
                <w:szCs w:val="19"/>
              </w:rPr>
              <w:t xml:space="preserve">Non richiedono consenso (art. 122 D.lgs. 196/2003)</w:t>
            </w:r>
          </w:p>
        </w:tc>
      </w:tr>
      <w:tr>
        <w:tc>
          <w:tcPr>
            <w:tcW w:type="dxa" w:w="2200"/>
            <w:tcMar>
              <w:top w:type="dxa" w:w="80"/>
              <w:left w:type="dxa" w:w="120"/>
              <w:bottom w:type="dxa" w:w="80"/>
              <w:right w:type="dxa" w:w="120"/>
            </w:tcMar>
          </w:tcPr>
          <w:p>
            <w:pPr>
              <w:spacing w:line="260"/>
            </w:pPr>
            <w:r>
              <w:rPr>
                <w:b w:val="false"/>
                <w:bCs w:val="false"/>
                <w:sz w:val="19"/>
                <w:szCs w:val="19"/>
              </w:rPr>
              <w:t xml:space="preserve">Analitici</w:t>
            </w:r>
          </w:p>
        </w:tc>
        <w:tc>
          <w:tcPr>
            <w:tcW w:type="dxa" w:w="4400"/>
            <w:tcMar>
              <w:top w:type="dxa" w:w="80"/>
              <w:left w:type="dxa" w:w="120"/>
              <w:bottom w:type="dxa" w:w="80"/>
              <w:right w:type="dxa" w:w="120"/>
            </w:tcMar>
          </w:tcPr>
          <w:p>
            <w:pPr>
              <w:spacing w:line="260"/>
            </w:pPr>
            <w:r>
              <w:rPr>
                <w:b w:val="false"/>
                <w:bCs w:val="false"/>
                <w:sz w:val="19"/>
                <w:szCs w:val="19"/>
              </w:rPr>
              <w:t xml:space="preserve">Statistiche aggregate sull'uso del Servizio per migliorarne funzionalità e prestazioni (es. Google Analytics 4 o equivalenti). Se configurati con anonimizzazione dell'IP e senza incroci tra siti, possono essere assimilati ai cookie tecnici.</w:t>
            </w:r>
          </w:p>
        </w:tc>
        <w:tc>
          <w:tcPr>
            <w:tcW w:type="dxa" w:w="2700"/>
            <w:tcMar>
              <w:top w:type="dxa" w:w="80"/>
              <w:left w:type="dxa" w:w="120"/>
              <w:bottom w:type="dxa" w:w="80"/>
              <w:right w:type="dxa" w:w="120"/>
            </w:tcMar>
          </w:tcPr>
          <w:p>
            <w:pPr>
              <w:spacing w:line="260"/>
            </w:pPr>
            <w:r>
              <w:rPr>
                <w:b w:val="false"/>
                <w:bCs w:val="false"/>
                <w:sz w:val="19"/>
                <w:szCs w:val="19"/>
              </w:rPr>
              <w:t xml:space="preserve">Consenso (salvo adeguata anonimizzazione)</w:t>
            </w:r>
          </w:p>
        </w:tc>
      </w:tr>
      <w:tr>
        <w:tc>
          <w:tcPr>
            <w:tcW w:type="dxa" w:w="2200"/>
            <w:tcMar>
              <w:top w:type="dxa" w:w="80"/>
              <w:left w:type="dxa" w:w="120"/>
              <w:bottom w:type="dxa" w:w="80"/>
              <w:right w:type="dxa" w:w="120"/>
            </w:tcMar>
          </w:tcPr>
          <w:p>
            <w:pPr>
              <w:spacing w:line="260"/>
            </w:pPr>
            <w:r>
              <w:rPr>
                <w:b w:val="false"/>
                <w:bCs w:val="false"/>
                <w:sz w:val="19"/>
                <w:szCs w:val="19"/>
              </w:rPr>
              <w:t xml:space="preserve">Marketing / profilazione</w:t>
            </w:r>
          </w:p>
        </w:tc>
        <w:tc>
          <w:tcPr>
            <w:tcW w:type="dxa" w:w="4400"/>
            <w:tcMar>
              <w:top w:type="dxa" w:w="80"/>
              <w:left w:type="dxa" w:w="120"/>
              <w:bottom w:type="dxa" w:w="80"/>
              <w:right w:type="dxa" w:w="120"/>
            </w:tcMar>
          </w:tcPr>
          <w:p>
            <w:pPr>
              <w:spacing w:line="260"/>
            </w:pPr>
            <w:r>
              <w:rPr>
                <w:b w:val="false"/>
                <w:bCs w:val="false"/>
                <w:sz w:val="19"/>
                <w:szCs w:val="19"/>
              </w:rPr>
              <w:t xml:space="preserve">Creazione di profili utente e pubblicità personalizzata, retargeting e funzionalità social (es. Meta Pixel, Google Ads, embed social).</w:t>
            </w:r>
          </w:p>
        </w:tc>
        <w:tc>
          <w:tcPr>
            <w:tcW w:type="dxa" w:w="2700"/>
            <w:tcMar>
              <w:top w:type="dxa" w:w="80"/>
              <w:left w:type="dxa" w:w="120"/>
              <w:bottom w:type="dxa" w:w="80"/>
              <w:right w:type="dxa" w:w="120"/>
            </w:tcMar>
          </w:tcPr>
          <w:p>
            <w:pPr>
              <w:spacing w:line="260"/>
            </w:pPr>
            <w:r>
              <w:rPr>
                <w:b w:val="false"/>
                <w:bCs w:val="false"/>
                <w:sz w:val="19"/>
                <w:szCs w:val="19"/>
              </w:rPr>
              <w:t xml:space="preserve">Consenso</w:t>
            </w:r>
          </w:p>
        </w:tc>
      </w:tr>
    </w:tbl>
    <w:p>
      <w:pPr>
        <w:spacing w:after="140"/>
      </w:pPr>
    </w:p>
    <w:p>
      <w:pPr>
        <w:spacing w:after="140" w:line="300"/>
        <w:jc w:val="both"/>
      </w:pPr>
      <w:r>
        <w:t xml:space="preserve">L'elenco dettagliato e sempre aggiornato dei singoli cookie (nome, fornitore, durata, finalità) è disponibile nel banner/centro preferenze cookie del Servizio.</w:t>
      </w:r>
    </w:p>
    <w:p>
      <w:pPr>
        <w:pStyle w:val="Heading1"/>
        <w:spacing w:after="120" w:before="300"/>
      </w:pPr>
      <w:r>
        <w:t xml:space="preserve">3. Consenso</w:t>
      </w:r>
    </w:p>
    <w:p>
      <w:pPr>
        <w:spacing w:after="140" w:line="300"/>
        <w:jc w:val="both"/>
      </w:pPr>
      <w:r>
        <w:t xml:space="preserve">Alla prima visita, un banner ti consente di: </w:t>
      </w:r>
      <w:r>
        <w:rPr>
          <w:b/>
          <w:bCs/>
        </w:rPr>
        <w:t xml:space="preserve">accettare tutti</w:t>
      </w:r>
      <w:r>
        <w:t xml:space="preserve"> i cookie; </w:t>
      </w:r>
      <w:r>
        <w:rPr>
          <w:b/>
          <w:bCs/>
        </w:rPr>
        <w:t xml:space="preserve">rifiutare tutti</w:t>
      </w:r>
      <w:r>
        <w:t xml:space="preserve"> i cookie non tecnici; oppure </w:t>
      </w:r>
      <w:r>
        <w:rPr>
          <w:b/>
          <w:bCs/>
        </w:rPr>
        <w:t xml:space="preserve">personalizzare</w:t>
      </w:r>
      <w:r>
        <w:t xml:space="preserve"> le scelte per categoria. Nessun cookie non tecnico viene installato prima del consenso. La tua scelta viene memorizzata e può essere modificata in qualsiasi momento tramite il link </w:t>
      </w:r>
      <w:r>
        <w:rPr>
          <w:b/>
          <w:bCs/>
        </w:rPr>
        <w:t xml:space="preserve">"Preferenze cookie"</w:t>
      </w:r>
      <w:r>
        <w:t xml:space="preserve"> nel footer/nelle impostazioni dell'app. La chiusura del banner senza scelta (es. tramite la "X") equivale al mantenimento dei soli cookie tecnici.</w:t>
      </w:r>
    </w:p>
    <w:p>
      <w:pPr>
        <w:spacing w:after="140" w:line="300"/>
        <w:jc w:val="both"/>
      </w:pPr>
      <w:r>
        <w:t xml:space="preserve">Le tue scelte di consenso sono </w:t>
      </w:r>
      <w:r>
        <w:rPr>
          <w:b/>
          <w:bCs/>
        </w:rPr>
        <w:t xml:space="preserve">registrate a fini di prova del consenso</w:t>
      </w:r>
      <w:r>
        <w:t xml:space="preserve"> (art. 7(1) GDPR). In linea con le Linee guida del Garante, il banner non viene ripresentato per almeno </w:t>
      </w:r>
      <w:r>
        <w:rPr>
          <w:b/>
          <w:bCs/>
        </w:rPr>
        <w:t xml:space="preserve">6 mesi</w:t>
      </w:r>
      <w:r>
        <w:t xml:space="preserve"> dalla scelta, salvo che mutino significativamente le condizioni del trattamento, sia impossibile sapere se una scelta è già stata espressa (es. cookie cancellati) o tu riapra autonomamente il centro preferenze.</w:t>
      </w:r>
    </w:p>
    <w:p>
      <w:pPr>
        <w:pStyle w:val="Heading1"/>
        <w:spacing w:after="120" w:before="300"/>
      </w:pPr>
      <w:r>
        <w:t xml:space="preserve">4. Cookie di terze parti</w:t>
      </w:r>
    </w:p>
    <w:p>
      <w:pPr>
        <w:spacing w:after="140" w:line="300"/>
        <w:jc w:val="both"/>
      </w:pPr>
      <w:r>
        <w:t xml:space="preserve">Alcuni cookie sono installati da terze parti che agiscono come titolari autonomi o responsabili del trattamento (es. Google, Meta). Non controlliamo i loro trattamenti; ti invitiamo a consultare le rispettive informative privacy. Ove le terze parti siano stabilite al di fuori del SEE, i trasferimenti avvengono con le garanzie descritte nella nostra Informativa Privacy (DPF, SCC).</w:t>
      </w:r>
    </w:p>
    <w:p>
      <w:pPr>
        <w:pStyle w:val="Heading1"/>
        <w:spacing w:after="120" w:before="300"/>
      </w:pPr>
      <w:r>
        <w:t xml:space="preserve">5. Gestione dei cookie dal browser</w:t>
      </w:r>
    </w:p>
    <w:p>
      <w:pPr>
        <w:spacing w:after="140" w:line="300"/>
        <w:jc w:val="both"/>
      </w:pPr>
      <w:r>
        <w:t xml:space="preserve">Puoi inoltre bloccare o eliminare i cookie tramite le impostazioni del tuo browser (Chrome, Firefox, Safari, Edge). Il blocco dei cookie tecnici può compromettere il corretto funzionamento del Servizio. Le istruzioni sono disponibili nelle pagine di aiuto del browser.</w:t>
      </w:r>
    </w:p>
    <w:p>
      <w:pPr>
        <w:pStyle w:val="Heading1"/>
        <w:spacing w:after="120" w:before="300"/>
      </w:pPr>
      <w:r>
        <w:t xml:space="preserve">6. Aggiornamenti e contatti</w:t>
      </w:r>
    </w:p>
    <w:p>
      <w:pPr>
        <w:spacing w:after="140" w:line="300"/>
        <w:jc w:val="both"/>
      </w:pPr>
      <w:r>
        <w:t xml:space="preserve">Potremo aggiornare la presente Policy al variare dei cookie utilizzati. Per domande ed esercizio dei diritti (v. Informativa Privacy per l'elenco completo): </w:t>
      </w:r>
      <w:r>
        <w:rPr>
          <w:b/>
          <w:bCs/>
        </w:rPr>
        <w:t xml:space="preserve">[EMAIL PRIVACY]</w:t>
      </w:r>
      <w:r>
        <w:t xml:space="preserve">. Titolare: </w:t>
      </w:r>
      <w:r>
        <w:rPr>
          <w:b/>
          <w:bCs/>
        </w:rPr>
        <w:t xml:space="preserve">[RAGIONE SOCIALE / NOME TITOLARE]</w:t>
      </w:r>
      <w:r>
        <w:t xml:space="preserve"> — </w:t>
      </w:r>
      <w:r>
        <w:rPr>
          <w:b/>
          <w:bCs/>
        </w:rPr>
        <w:t xml:space="preserve">[SEDE LEGALE]</w:t>
      </w:r>
      <w:r>
        <w:t xml:space="preserve">.</w:t>
      </w:r>
    </w:p>
    <w:sectPr>
      <w:pgSz w:w="11906" w:h="16838"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1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rFonts w:ascii="Calibri" w:cs="Calibri" w:eastAsia="Calibri" w:hAnsi="Calibri"/>
      <w:b/>
      <w:bCs/>
      <w:color w:val="1F2A44"/>
      <w:sz w:val="40"/>
      <w:szCs w:val="40"/>
    </w:rPr>
  </w:style>
  <w:style w:type="paragraph" w:styleId="Heading1">
    <w:name w:val="Heading 1"/>
    <w:basedOn w:val="Normal"/>
    <w:next w:val="Normal"/>
    <w:qFormat/>
    <w:rPr>
      <w:rFonts w:ascii="Calibri" w:cs="Calibri" w:eastAsia="Calibri" w:hAnsi="Calibri"/>
      <w:b/>
      <w:bCs/>
      <w:color w:val="2E3A59"/>
      <w:sz w:val="26"/>
      <w:szCs w:val="26"/>
    </w:rPr>
  </w:style>
  <w:style w:type="paragraph" w:styleId="Heading2">
    <w:name w:val="Heading 2"/>
    <w:basedOn w:val="Normal"/>
    <w:next w:val="Normal"/>
    <w:qFormat/>
    <w:rPr>
      <w:rFonts w:ascii="Calibri" w:cs="Calibri" w:eastAsia="Calibri" w:hAnsi="Calibri"/>
      <w:b/>
      <w:bCs/>
      <w:color w:val="3D4E73"/>
      <w:sz w:val="23"/>
      <w:szCs w:val="23"/>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2026-07-21T14:36:39.808Z</dcterms:created>
  <dcterms:modified xsi:type="dcterms:W3CDTF">2026-07-21T14:36:39.808Z</dcterms:modified>
</cp:coreProperties>
</file>

<file path=docProps/custom.xml><?xml version="1.0" encoding="utf-8"?>
<Properties xmlns="http://schemas.openxmlformats.org/officeDocument/2006/custom-properties" xmlns:vt="http://schemas.openxmlformats.org/officeDocument/2006/docPropsVTypes"/>
</file>