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A6B8C"/>
          <w:sz w:val="22"/>
          <w:szCs w:val="22"/>
        </w:rPr>
        <w:t xml:space="preserve">TrainMind AI</w:t>
      </w:r>
    </w:p>
    <w:p>
      <w:pPr>
        <w:pStyle w:val="Title"/>
        <w:spacing w:after="100"/>
      </w:pPr>
      <w:r>
        <w:rPr>
          <w:b/>
          <w:bCs/>
        </w:rPr>
        <w:t xml:space="preserve">Piano di alfabetizzazione sull'IA (AI Literacy) per il team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Ultimo aggiornamento: 21 luglio 2026 · Versione 1.0</w:t>
      </w:r>
    </w:p>
    <w:p>
      <w:pPr>
        <w:pBdr>
          <w:bottom w:val="single" w:color="2E3A59" w:sz="6"/>
        </w:pBdr>
        <w:spacing w:after="260"/>
      </w:pPr>
    </w:p>
    <w:p>
      <w:pPr>
        <w:spacing w:after="140" w:line="300"/>
        <w:jc w:val="both"/>
      </w:pPr>
      <w:r>
        <w:t xml:space="preserve">Il presente Piano dà attuazione all'obbligo di </w:t>
      </w:r>
      <w:r>
        <w:rPr>
          <w:b/>
          <w:bCs/>
        </w:rPr>
        <w:t xml:space="preserve">alfabetizzazione sull'IA</w:t>
      </w:r>
      <w:r>
        <w:t xml:space="preserve"> previsto dall'art. 4 del Regolamento (UE) 2024/1689 ("AI Act"), applicabile dal 2 febbraio 2025 a tutti i fornitori e deployer di sistemi di IA, inclusi </w:t>
      </w:r>
      <w:r>
        <w:rPr>
          <w:b/>
          <w:bCs/>
        </w:rPr>
        <w:t xml:space="preserve">[RAGIONE SOCIALE / NOME TITOLARE]</w:t>
      </w:r>
      <w:r>
        <w:t xml:space="preserve"> e i suoi collaboratori.</w:t>
      </w:r>
    </w:p>
    <w:p>
      <w:pPr>
        <w:pStyle w:val="Heading1"/>
        <w:spacing w:after="120" w:before="300"/>
      </w:pPr>
      <w:r>
        <w:t xml:space="preserve">1. Perimetro</w:t>
      </w:r>
    </w:p>
    <w:p>
      <w:pPr>
        <w:spacing w:after="140" w:line="300"/>
        <w:jc w:val="both"/>
      </w:pPr>
      <w:r>
        <w:t xml:space="preserve">Il Piano si applica a tutte le persone che, per conto del Titolare, utilizzano o gestiscono sistemi di IA nell'ambito dell'attività: fondatori, dipendenti, collaboratori, consulenti, tirocinanti e, ove pertinente, fornitori con accesso operativo.</w:t>
      </w:r>
    </w:p>
    <w:p>
      <w:pPr>
        <w:pStyle w:val="Heading1"/>
        <w:spacing w:after="120" w:before="300"/>
      </w:pPr>
      <w:r>
        <w:t xml:space="preserve">2. Obiettivi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garantire che il team comprenda </w:t>
      </w:r>
      <w:r>
        <w:rPr>
          <w:b/>
          <w:bCs/>
        </w:rPr>
        <w:t xml:space="preserve">funzionamento, capacità e limiti</w:t>
      </w:r>
      <w:r>
        <w:t xml:space="preserve"> dei sistemi di IA utilizzati (interni e di terzi);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assicurare la </w:t>
      </w:r>
      <w:r>
        <w:rPr>
          <w:b/>
          <w:bCs/>
        </w:rPr>
        <w:t xml:space="preserve">conformità all'AI Act</w:t>
      </w:r>
      <w:r>
        <w:t xml:space="preserve"> (art. 50 trasparenza, art. 5 pratiche vietate, obblighi per deployer);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ridurre il rischio di </w:t>
      </w:r>
      <w:r>
        <w:rPr>
          <w:b/>
          <w:bCs/>
        </w:rPr>
        <w:t xml:space="preserve">output erronei o non conformi</w:t>
      </w:r>
      <w:r>
        <w:t xml:space="preserve"> (allucinazioni, bias, violazioni di privacy);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promuovere un uso </w:t>
      </w:r>
      <w:r>
        <w:rPr>
          <w:b/>
          <w:bCs/>
        </w:rPr>
        <w:t xml:space="preserve">etico e responsabile</w:t>
      </w:r>
      <w:r>
        <w:t xml:space="preserve"> dei sistemi di IA.</w:t>
      </w:r>
    </w:p>
    <w:p>
      <w:pPr>
        <w:pStyle w:val="Heading1"/>
        <w:spacing w:after="120" w:before="300"/>
      </w:pPr>
      <w:r>
        <w:t xml:space="preserve">3. Contenuti minimi della formazione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Modulo</w:t>
            </w:r>
          </w:p>
        </w:tc>
        <w:tc>
          <w:tcPr>
            <w:tcW w:type="dxa" w:w="67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Contenuti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Modulo 1 · Fondamenti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Cos'è un sistema di IA; distinzione GPAI / IA specializzata; limiti (allucinazioni, bias, cutoff); ruoli fornitore vs. deployer.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Modulo 2 · Normativa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Act: pratiche vietate (art. 5), sistemi ad alto rischio (Allegato III), obblighi di trasparenza (art. 50); GDPR e IA; DSA.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Modulo 3 · Prompt e sicurezza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Buone pratiche di prompting; prompt injection; NON inserire segreti/PII non necessari; log dei prompt; sanitizzazione.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Modulo 4 · Uso responsabile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Etichettatura output IA verso utenti; supervisione umana; canali di segnalazione e revisione; disclaimer medici.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Modulo 5 · Data protection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Consenso esplicito per dati salute; minimizzazione; provider terzi come responsabili; TIA per trasferimenti extra-SEE.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Modulo 6 · Incident response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Cosa fare se un output IA causa danno o se emerge un bias sistemico; gestione data breach.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4. Cadenza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Onboarding: entro </w:t>
      </w:r>
      <w:r>
        <w:rPr>
          <w:b/>
          <w:bCs/>
        </w:rPr>
        <w:t xml:space="preserve">30 giorni</w:t>
      </w:r>
      <w:r>
        <w:t xml:space="preserve"> dall'inizio del rapporto;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Refresher </w:t>
      </w:r>
      <w:r>
        <w:rPr>
          <w:b/>
          <w:bCs/>
        </w:rPr>
        <w:t xml:space="preserve">annuale</w:t>
      </w:r>
      <w:r>
        <w:t xml:space="preserve"> per tutti;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Refresher </w:t>
      </w:r>
      <w:r>
        <w:rPr>
          <w:b/>
          <w:bCs/>
        </w:rPr>
        <w:t xml:space="preserve">ad hoc</w:t>
      </w:r>
      <w:r>
        <w:t xml:space="preserve"> in caso di modifiche normative rilevanti (es. entrata in vigore art. 50, watermarking a dic 2026) o adozione di nuovi sistemi di IA.</w:t>
      </w:r>
    </w:p>
    <w:p>
      <w:pPr>
        <w:pStyle w:val="Heading1"/>
        <w:spacing w:after="120" w:before="300"/>
      </w:pPr>
      <w:r>
        <w:t xml:space="preserve">5. Modalità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Sessioni live (workshop 90 min) + materiali asincroni;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Test finale di comprensione (soglia minima 70%);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Casi pratici tratti dall'operatività del prodotto;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Documentazione: modello di attestato in allegato; registro presenze; risultati dei test.</w:t>
      </w:r>
    </w:p>
    <w:p>
      <w:pPr>
        <w:pStyle w:val="Heading1"/>
        <w:spacing w:after="120" w:before="300"/>
      </w:pPr>
      <w:r>
        <w:t xml:space="preserve">6. Registro delle formazioni (template)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00"/>
      </w:tblGrid>
      <w:tr>
        <w:trPr>
          <w:tblHeader/>
        </w:trPr>
        <w:tc>
          <w:tcPr>
            <w:tcW w:type="dxa" w:w="20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20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20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Modulo</w:t>
            </w:r>
          </w:p>
        </w:tc>
        <w:tc>
          <w:tcPr>
            <w:tcW w:type="dxa" w:w="33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Esito test / Note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7. Responsabilità</w:t>
      </w:r>
    </w:p>
    <w:p>
      <w:pPr>
        <w:spacing w:after="140" w:line="300"/>
        <w:jc w:val="both"/>
      </w:pPr>
      <w:r>
        <w:t xml:space="preserve">Il </w:t>
      </w:r>
      <w:r>
        <w:rPr>
          <w:b/>
          <w:bCs/>
        </w:rPr>
        <w:t xml:space="preserve">Responsabile AI compliance</w:t>
      </w:r>
      <w:r>
        <w:t xml:space="preserve"> (in fase di startup coincide con il rappresentante legale) coordina il Piano, ne mantiene il registro e ne verifica l'attuazione. Il DPO (ove designato) vigila sui profili di protezione dei dati.</w:t>
      </w:r>
    </w:p>
    <w:p>
      <w:pPr>
        <w:pStyle w:val="Heading1"/>
        <w:spacing w:after="120" w:before="300"/>
      </w:pPr>
      <w:r>
        <w:t xml:space="preserve">8. Materiali di riferimento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Regolamento (UE) 2024/1689 (AI Act) — testo consolidato e Digital Omnibus 2026;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Linee guida della Commissione Europea sull'art. 50 (trasparenza);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Linee guida del Garante 10 giugno 2021 (cookie), Provvedimenti su IA;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ISO/IEC 42001 (AI management system) — indicazioni operative.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3A5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D4E73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2026-07-22T13:13:43.805Z</dcterms:created>
  <dcterms:modified xsi:type="dcterms:W3CDTF">2026-07-22T13:13:43.805Z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