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Política de Cookies</w:t>
      </w:r>
    </w:p>
    <w:p>
      <w:pPr>
        <w:spacing w:after="60"/>
      </w:pPr>
      <w:r>
        <w:rPr>
          <w:i/>
          <w:iCs/>
          <w:color w:val="666666"/>
          <w:sz w:val="20"/>
          <w:szCs w:val="20"/>
        </w:rPr>
        <w:t xml:space="preserve">Última actualización: 21 de julio de 2026 · Versión 2.0</w:t>
      </w:r>
    </w:p>
    <w:p>
      <w:pPr>
        <w:pBdr>
          <w:bottom w:val="single" w:color="2E3A59" w:sz="6"/>
        </w:pBdr>
        <w:spacing w:after="260"/>
      </w:pPr>
    </w:p>
    <w:p>
      <w:pPr>
        <w:pStyle w:val="Heading2"/>
        <w:spacing w:after="100" w:before="220"/>
      </w:pPr>
      <w:r>
        <w:t xml:space="preserve">En resumen</w:t>
      </w:r>
    </w:p>
    <w:p>
      <w:pPr>
        <w:pStyle w:val="ListParagraph"/>
        <w:numPr>
          <w:ilvl w:val="0"/>
          <w:numId w:val="2"/>
        </w:numPr>
        <w:spacing w:after="80" w:line="300"/>
      </w:pPr>
      <w:r>
        <w:t xml:space="preserve">Usamos cookies estrictamente necesarias sin consentimiento y cookies analíticas/marketing solo si consientes.</w:t>
      </w:r>
    </w:p>
    <w:p>
      <w:pPr>
        <w:pStyle w:val="ListParagraph"/>
        <w:numPr>
          <w:ilvl w:val="0"/>
          <w:numId w:val="2"/>
        </w:numPr>
        <w:spacing w:after="80" w:line="300"/>
      </w:pPr>
      <w:r>
        <w:t xml:space="preserve">Puedes cambiar de opinión en cualquier momento desde el enlace "Preferencias de cookies" en el pie de página.</w:t>
      </w:r>
    </w:p>
    <w:p>
      <w:pPr>
        <w:pStyle w:val="ListParagraph"/>
        <w:numPr>
          <w:ilvl w:val="0"/>
          <w:numId w:val="2"/>
        </w:numPr>
        <w:spacing w:after="80" w:line="300"/>
      </w:pPr>
      <w:r>
        <w:t xml:space="preserve">Registramos tus elecciones como prueba del consentimiento.</w:t>
      </w:r>
    </w:p>
    <w:p>
      <w:pPr>
        <w:spacing w:after="140" w:line="300"/>
        <w:jc w:val="both"/>
      </w:pPr>
      <w:r>
        <w:t xml:space="preserve">La presente Política de Cookies explica cómo </w:t>
      </w:r>
      <w:r>
        <w:rPr>
          <w:b/>
          <w:bCs/>
        </w:rPr>
        <w:t xml:space="preserve">[RAZÓN SOCIAL / NOMBRE DEL TITULAR]</w:t>
      </w:r>
      <w:r>
        <w:t xml:space="preserve"> (el "</w:t>
      </w:r>
      <w:r>
        <w:rPr>
          <w:b/>
          <w:bCs/>
        </w:rPr>
        <w:t xml:space="preserve">Responsable del tratamiento</w:t>
      </w:r>
      <w:r>
        <w:t xml:space="preserve">") utiliza cookies y tecnologías similares (local storage, píxeles, SDK) en el sitio web y las aplicaciones de TrainMind AI, de conformidad con el RGPD, el art. 122 del D.lgs. italiano 196/2003 y las Directrices sobre cookies de la autoridad italiana de protección de datos (Garante) de 10 de junio de 2021.</w:t>
      </w:r>
    </w:p>
    <w:p>
      <w:pPr>
        <w:spacing w:after="140" w:line="300"/>
        <w:jc w:val="both"/>
      </w:pPr>
      <w:r>
        <w:t xml:space="preserve">La versión italiana es la </w:t>
      </w:r>
      <w:r>
        <w:rPr>
          <w:b/>
          <w:bCs/>
        </w:rPr>
        <w:t xml:space="preserve">versión oficial</w:t>
      </w:r>
      <w:r>
        <w:t xml:space="preserve"> y prevalece sobre cualquier traducción en caso de discrepancia.</w:t>
      </w:r>
    </w:p>
    <w:p>
      <w:pPr>
        <w:pStyle w:val="Heading1"/>
        <w:spacing w:after="120" w:before="300"/>
      </w:pPr>
      <w:r>
        <w:t xml:space="preserve">1. Qué son las cookies</w:t>
      </w:r>
    </w:p>
    <w:p>
      <w:pPr>
        <w:spacing w:after="140" w:line="300"/>
        <w:jc w:val="both"/>
      </w:pPr>
      <w:r>
        <w:t xml:space="preserve">Las cookies son pequeños archivos de texto que los sitios web almacenan en tu dispositivo. Las tecnologías similares (como localStorage o los píxeles de seguimiento) cumplen funciones análogas; la presente Política las engloba todas bajo el término "cookies".</w:t>
      </w:r>
    </w:p>
    <w:p>
      <w:pPr>
        <w:pStyle w:val="Heading1"/>
        <w:spacing w:after="120" w:before="300"/>
      </w:pPr>
      <w:r>
        <w:t xml:space="preserve">2. Categorías utilizadas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E8EAF0" w:val="clear"/>
            <w:tcMar>
              <w:top w:type="dxa" w:w="80"/>
              <w:left w:type="dxa" w:w="120"/>
              <w:bottom w:type="dxa" w:w="80"/>
              <w:right w:type="dxa" w:w="120"/>
            </w:tcMar>
          </w:tcPr>
          <w:p>
            <w:pPr>
              <w:spacing w:line="260"/>
            </w:pPr>
            <w:r>
              <w:rPr>
                <w:b/>
                <w:bCs/>
                <w:sz w:val="19"/>
                <w:szCs w:val="19"/>
              </w:rPr>
              <w:t xml:space="preserve">Categoría</w:t>
            </w:r>
          </w:p>
        </w:tc>
        <w:tc>
          <w:tcPr>
            <w:tcW w:type="dxa" w:w="4400"/>
            <w:shd w:fill="E8EAF0" w:val="clear"/>
            <w:tcMar>
              <w:top w:type="dxa" w:w="80"/>
              <w:left w:type="dxa" w:w="120"/>
              <w:bottom w:type="dxa" w:w="80"/>
              <w:right w:type="dxa" w:w="120"/>
            </w:tcMar>
          </w:tcPr>
          <w:p>
            <w:pPr>
              <w:spacing w:line="260"/>
            </w:pPr>
            <w:r>
              <w:rPr>
                <w:b/>
                <w:bCs/>
                <w:sz w:val="19"/>
                <w:szCs w:val="19"/>
              </w:rPr>
              <w:t xml:space="preserve">Finalidad</w:t>
            </w:r>
          </w:p>
        </w:tc>
        <w:tc>
          <w:tcPr>
            <w:tcW w:type="dxa" w:w="2700"/>
            <w:shd w:fill="E8EAF0" w:val="clear"/>
            <w:tcMar>
              <w:top w:type="dxa" w:w="80"/>
              <w:left w:type="dxa" w:w="120"/>
              <w:bottom w:type="dxa" w:w="80"/>
              <w:right w:type="dxa" w:w="120"/>
            </w:tcMar>
          </w:tcPr>
          <w:p>
            <w:pPr>
              <w:spacing w:line="260"/>
            </w:pPr>
            <w:r>
              <w:rPr>
                <w:b/>
                <w:bCs/>
                <w:sz w:val="19"/>
                <w:szCs w:val="19"/>
              </w:rPr>
              <w:t xml:space="preserve">Base jurídica</w:t>
            </w:r>
          </w:p>
        </w:tc>
      </w:tr>
      <w:tr>
        <w:tc>
          <w:tcPr>
            <w:tcW w:type="dxa" w:w="2200"/>
            <w:tcMar>
              <w:top w:type="dxa" w:w="80"/>
              <w:left w:type="dxa" w:w="120"/>
              <w:bottom w:type="dxa" w:w="80"/>
              <w:right w:type="dxa" w:w="120"/>
            </w:tcMar>
          </w:tcPr>
          <w:p>
            <w:pPr>
              <w:spacing w:line="260"/>
            </w:pPr>
            <w:r>
              <w:rPr>
                <w:b w:val="false"/>
                <w:bCs w:val="false"/>
                <w:sz w:val="19"/>
                <w:szCs w:val="19"/>
              </w:rPr>
              <w:t xml:space="preserve">Estrictamente necesarias</w:t>
            </w:r>
          </w:p>
        </w:tc>
        <w:tc>
          <w:tcPr>
            <w:tcW w:type="dxa" w:w="4400"/>
            <w:tcMar>
              <w:top w:type="dxa" w:w="80"/>
              <w:left w:type="dxa" w:w="120"/>
              <w:bottom w:type="dxa" w:w="80"/>
              <w:right w:type="dxa" w:w="120"/>
            </w:tcMar>
          </w:tcPr>
          <w:p>
            <w:pPr>
              <w:spacing w:line="260"/>
            </w:pPr>
            <w:r>
              <w:rPr>
                <w:b w:val="false"/>
                <w:bCs w:val="false"/>
                <w:sz w:val="19"/>
                <w:szCs w:val="19"/>
              </w:rPr>
              <w:t xml:space="preserve">Autenticación, gestión de la sesión, seguridad, balanceo de carga, almacenamiento de preferencias esenciales (p. ej. idioma, elecciones de cookies). Sin ellas el Servicio no puede funcionar.</w:t>
            </w:r>
          </w:p>
        </w:tc>
        <w:tc>
          <w:tcPr>
            <w:tcW w:type="dxa" w:w="2700"/>
            <w:tcMar>
              <w:top w:type="dxa" w:w="80"/>
              <w:left w:type="dxa" w:w="120"/>
              <w:bottom w:type="dxa" w:w="80"/>
              <w:right w:type="dxa" w:w="120"/>
            </w:tcMar>
          </w:tcPr>
          <w:p>
            <w:pPr>
              <w:spacing w:line="260"/>
            </w:pPr>
            <w:r>
              <w:rPr>
                <w:b w:val="false"/>
                <w:bCs w:val="false"/>
                <w:sz w:val="19"/>
                <w:szCs w:val="19"/>
              </w:rPr>
              <w:t xml:space="preserve">No requieren consentimiento (art. 122 D.lgs. 196/2003)</w:t>
            </w:r>
          </w:p>
        </w:tc>
      </w:tr>
      <w:tr>
        <w:tc>
          <w:tcPr>
            <w:tcW w:type="dxa" w:w="2200"/>
            <w:tcMar>
              <w:top w:type="dxa" w:w="80"/>
              <w:left w:type="dxa" w:w="120"/>
              <w:bottom w:type="dxa" w:w="80"/>
              <w:right w:type="dxa" w:w="120"/>
            </w:tcMar>
          </w:tcPr>
          <w:p>
            <w:pPr>
              <w:spacing w:line="260"/>
            </w:pPr>
            <w:r>
              <w:rPr>
                <w:b w:val="false"/>
                <w:bCs w:val="false"/>
                <w:sz w:val="19"/>
                <w:szCs w:val="19"/>
              </w:rPr>
              <w:t xml:space="preserve">Analíticas</w:t>
            </w:r>
          </w:p>
        </w:tc>
        <w:tc>
          <w:tcPr>
            <w:tcW w:type="dxa" w:w="4400"/>
            <w:tcMar>
              <w:top w:type="dxa" w:w="80"/>
              <w:left w:type="dxa" w:w="120"/>
              <w:bottom w:type="dxa" w:w="80"/>
              <w:right w:type="dxa" w:w="120"/>
            </w:tcMar>
          </w:tcPr>
          <w:p>
            <w:pPr>
              <w:spacing w:line="260"/>
            </w:pPr>
            <w:r>
              <w:rPr>
                <w:b w:val="false"/>
                <w:bCs w:val="false"/>
                <w:sz w:val="19"/>
                <w:szCs w:val="19"/>
              </w:rPr>
              <w:t xml:space="preserve">Estadísticas agregadas sobre el uso del Servicio para mejorar sus funcionalidades y rendimiento (p. ej. Google Analytics 4 o equivalentes). Si se configuran con anonimización de la IP y sin cruces entre sitios, pueden asimilarse a las cookies técnicas.</w:t>
            </w:r>
          </w:p>
        </w:tc>
        <w:tc>
          <w:tcPr>
            <w:tcW w:type="dxa" w:w="2700"/>
            <w:tcMar>
              <w:top w:type="dxa" w:w="80"/>
              <w:left w:type="dxa" w:w="120"/>
              <w:bottom w:type="dxa" w:w="80"/>
              <w:right w:type="dxa" w:w="120"/>
            </w:tcMar>
          </w:tcPr>
          <w:p>
            <w:pPr>
              <w:spacing w:line="260"/>
            </w:pPr>
            <w:r>
              <w:rPr>
                <w:b w:val="false"/>
                <w:bCs w:val="false"/>
                <w:sz w:val="19"/>
                <w:szCs w:val="19"/>
              </w:rPr>
              <w:t xml:space="preserve">Consentimiento (salvo anonimización adecuada)</w:t>
            </w:r>
          </w:p>
        </w:tc>
      </w:tr>
      <w:tr>
        <w:tc>
          <w:tcPr>
            <w:tcW w:type="dxa" w:w="2200"/>
            <w:tcMar>
              <w:top w:type="dxa" w:w="80"/>
              <w:left w:type="dxa" w:w="120"/>
              <w:bottom w:type="dxa" w:w="80"/>
              <w:right w:type="dxa" w:w="120"/>
            </w:tcMar>
          </w:tcPr>
          <w:p>
            <w:pPr>
              <w:spacing w:line="260"/>
            </w:pPr>
            <w:r>
              <w:rPr>
                <w:b w:val="false"/>
                <w:bCs w:val="false"/>
                <w:sz w:val="19"/>
                <w:szCs w:val="19"/>
              </w:rPr>
              <w:t xml:space="preserve">Marketing / elaboración de perfiles</w:t>
            </w:r>
          </w:p>
        </w:tc>
        <w:tc>
          <w:tcPr>
            <w:tcW w:type="dxa" w:w="4400"/>
            <w:tcMar>
              <w:top w:type="dxa" w:w="80"/>
              <w:left w:type="dxa" w:w="120"/>
              <w:bottom w:type="dxa" w:w="80"/>
              <w:right w:type="dxa" w:w="120"/>
            </w:tcMar>
          </w:tcPr>
          <w:p>
            <w:pPr>
              <w:spacing w:line="260"/>
            </w:pPr>
            <w:r>
              <w:rPr>
                <w:b w:val="false"/>
                <w:bCs w:val="false"/>
                <w:sz w:val="19"/>
                <w:szCs w:val="19"/>
              </w:rPr>
              <w:t xml:space="preserve">Creación de perfiles de usuario y publicidad personalizada, retargeting y funcionalidades sociales (p. ej. Meta Pixel, Google Ads, contenidos sociales incrustados).</w:t>
            </w:r>
          </w:p>
        </w:tc>
        <w:tc>
          <w:tcPr>
            <w:tcW w:type="dxa" w:w="2700"/>
            <w:tcMar>
              <w:top w:type="dxa" w:w="80"/>
              <w:left w:type="dxa" w:w="120"/>
              <w:bottom w:type="dxa" w:w="80"/>
              <w:right w:type="dxa" w:w="120"/>
            </w:tcMar>
          </w:tcPr>
          <w:p>
            <w:pPr>
              <w:spacing w:line="260"/>
            </w:pPr>
            <w:r>
              <w:rPr>
                <w:b w:val="false"/>
                <w:bCs w:val="false"/>
                <w:sz w:val="19"/>
                <w:szCs w:val="19"/>
              </w:rPr>
              <w:t xml:space="preserve">Consentimiento</w:t>
            </w:r>
          </w:p>
        </w:tc>
      </w:tr>
    </w:tbl>
    <w:p>
      <w:pPr>
        <w:spacing w:after="140"/>
      </w:pPr>
    </w:p>
    <w:p>
      <w:pPr>
        <w:spacing w:after="140" w:line="300"/>
        <w:jc w:val="both"/>
      </w:pPr>
      <w:r>
        <w:t xml:space="preserve">La lista detallada y siempre actualizada de las cookies individuales (nombre, proveedor, duración, finalidad) está disponible en el banner/centro de preferencias de cookies del Servicio.</w:t>
      </w:r>
    </w:p>
    <w:p>
      <w:pPr>
        <w:pStyle w:val="Heading1"/>
        <w:spacing w:after="120" w:before="300"/>
      </w:pPr>
      <w:r>
        <w:t xml:space="preserve">3. Consentimiento</w:t>
      </w:r>
    </w:p>
    <w:p>
      <w:pPr>
        <w:spacing w:after="140" w:line="300"/>
        <w:jc w:val="both"/>
      </w:pPr>
      <w:r>
        <w:t xml:space="preserve">En tu primera visita, un banner te permite: </w:t>
      </w:r>
      <w:r>
        <w:rPr>
          <w:b/>
          <w:bCs/>
        </w:rPr>
        <w:t xml:space="preserve">aceptar todas</w:t>
      </w:r>
      <w:r>
        <w:t xml:space="preserve"> las cookies; </w:t>
      </w:r>
      <w:r>
        <w:rPr>
          <w:b/>
          <w:bCs/>
        </w:rPr>
        <w:t xml:space="preserve">rechazar todas</w:t>
      </w:r>
      <w:r>
        <w:t xml:space="preserve"> las cookies no técnicas; o </w:t>
      </w:r>
      <w:r>
        <w:rPr>
          <w:b/>
          <w:bCs/>
        </w:rPr>
        <w:t xml:space="preserve">personalizar</w:t>
      </w:r>
      <w:r>
        <w:t xml:space="preserve"> tus elecciones por categoría. Ninguna cookie no técnica se instala antes del consentimiento. Tu elección se memoriza y puede modificarse en cualquier momento mediante el enlace </w:t>
      </w:r>
      <w:r>
        <w:rPr>
          <w:b/>
          <w:bCs/>
        </w:rPr>
        <w:t xml:space="preserve">"Preferencias de cookies"</w:t>
      </w:r>
      <w:r>
        <w:t xml:space="preserve"> en el pie de página/configuración de la app. Cerrar el banner sin elegir (p. ej. mediante la "X") equivale a mantener únicamente las cookies técnicas.</w:t>
      </w:r>
    </w:p>
    <w:p>
      <w:pPr>
        <w:spacing w:after="140" w:line="300"/>
        <w:jc w:val="both"/>
      </w:pPr>
      <w:r>
        <w:t xml:space="preserve">Tus elecciones de consentimiento se </w:t>
      </w:r>
      <w:r>
        <w:rPr>
          <w:b/>
          <w:bCs/>
        </w:rPr>
        <w:t xml:space="preserve">registran como prueba del consentimiento</w:t>
      </w:r>
      <w:r>
        <w:t xml:space="preserve"> (art. 7(1) RGPD). En línea con las Directrices del Garante, el banner no se vuelve a mostrar durante al menos </w:t>
      </w:r>
      <w:r>
        <w:rPr>
          <w:b/>
          <w:bCs/>
        </w:rPr>
        <w:t xml:space="preserve">6 meses</w:t>
      </w:r>
      <w:r>
        <w:t xml:space="preserve"> desde tu elección, salvo que cambien significativamente las condiciones del tratamiento, sea imposible saber si ya se expresó una elección (p. ej. cookies eliminadas) o reabras tú mismo el centro de preferencias.</w:t>
      </w:r>
    </w:p>
    <w:p>
      <w:pPr>
        <w:pStyle w:val="Heading1"/>
        <w:spacing w:after="120" w:before="300"/>
      </w:pPr>
      <w:r>
        <w:t xml:space="preserve">4. Cookies de terceros</w:t>
      </w:r>
    </w:p>
    <w:p>
      <w:pPr>
        <w:spacing w:after="140" w:line="300"/>
        <w:jc w:val="both"/>
      </w:pPr>
      <w:r>
        <w:t xml:space="preserve">Algunas cookies son instaladas por terceros que actúan como responsables autónomos o encargados del tratamiento (p. ej. Google, Meta). No controlamos sus tratamientos; te invitamos a consultar sus respectivas políticas de privacidad. Cuando los terceros estén establecidos fuera del EEE, las transferencias se realizan con las garantías descritas en nuestra Política de Privacidad (DPF, SCC).</w:t>
      </w:r>
    </w:p>
    <w:p>
      <w:pPr>
        <w:pStyle w:val="Heading1"/>
        <w:spacing w:after="120" w:before="300"/>
      </w:pPr>
      <w:r>
        <w:t xml:space="preserve">5. Gestión de cookies desde el navegador</w:t>
      </w:r>
    </w:p>
    <w:p>
      <w:pPr>
        <w:spacing w:after="140" w:line="300"/>
        <w:jc w:val="both"/>
      </w:pPr>
      <w:r>
        <w:t xml:space="preserve">También puedes bloquear o eliminar las cookies mediante la configuración de tu navegador (Chrome, Firefox, Safari, Edge). El bloqueo de las cookies técnicas puede comprometer el correcto funcionamiento del Servicio. Las instrucciones están disponibles en las páginas de ayuda de tu navegador.</w:t>
      </w:r>
    </w:p>
    <w:p>
      <w:pPr>
        <w:pStyle w:val="Heading1"/>
        <w:spacing w:after="120" w:before="300"/>
      </w:pPr>
      <w:r>
        <w:t xml:space="preserve">6. Actualizaciones y contacto</w:t>
      </w:r>
    </w:p>
    <w:p>
      <w:pPr>
        <w:spacing w:after="140" w:line="300"/>
        <w:jc w:val="both"/>
      </w:pPr>
      <w:r>
        <w:t xml:space="preserve">Podremos actualizar la presente Política a medida que cambien las cookies utilizadas. Para preguntas y ejercicio de derechos (véase la Política de Privacidad para la lista completa): </w:t>
      </w:r>
      <w:r>
        <w:rPr>
          <w:b/>
          <w:bCs/>
        </w:rPr>
        <w:t xml:space="preserve">[EMAIL DE PRIVACIDAD]</w:t>
      </w:r>
      <w:r>
        <w:t xml:space="preserve">. Responsable del tratamiento: </w:t>
      </w:r>
      <w:r>
        <w:rPr>
          <w:b/>
          <w:bCs/>
        </w:rPr>
        <w:t xml:space="preserve">[RAZÓN SOCIAL / NOMBRE DEL TITULAR]</w:t>
      </w:r>
      <w:r>
        <w:t xml:space="preserve"> — </w:t>
      </w:r>
      <w:r>
        <w:rPr>
          <w:b/>
          <w:bCs/>
        </w:rPr>
        <w:t xml:space="preserve">[DOMICILIO SOCIAL]</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2026-07-21T14:36:40.423Z</dcterms:created>
  <dcterms:modified xsi:type="dcterms:W3CDTF">2026-07-21T14:36:40.423Z</dcterms:modified>
</cp:coreProperties>
</file>

<file path=docProps/custom.xml><?xml version="1.0" encoding="utf-8"?>
<Properties xmlns="http://schemas.openxmlformats.org/officeDocument/2006/custom-properties" xmlns:vt="http://schemas.openxmlformats.org/officeDocument/2006/docPropsVTypes"/>
</file>