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Privacy Policy</w:t>
      </w:r>
    </w:p>
    <w:p>
      <w:pPr>
        <w:spacing w:after="60"/>
      </w:pPr>
      <w:r>
        <w:rPr>
          <w:i/>
          <w:iCs/>
          <w:color w:val="666666"/>
          <w:sz w:val="20"/>
          <w:szCs w:val="20"/>
        </w:rPr>
        <w:t xml:space="preserve">Last updated: 21 July 2026 · Version 2.0</w:t>
      </w:r>
    </w:p>
    <w:p>
      <w:pPr>
        <w:pBdr>
          <w:bottom w:val="single" w:color="2E3A59" w:sz="6"/>
        </w:pBdr>
        <w:spacing w:after="260"/>
      </w:pPr>
    </w:p>
    <w:p>
      <w:pPr>
        <w:pStyle w:val="Heading2"/>
        <w:spacing w:after="100" w:before="220"/>
      </w:pPr>
      <w:r>
        <w:t xml:space="preserve">At a glance (does not replace the full text)</w:t>
      </w:r>
    </w:p>
    <w:p>
      <w:pPr>
        <w:pStyle w:val="ListParagraph"/>
        <w:numPr>
          <w:ilvl w:val="0"/>
          <w:numId w:val="2"/>
        </w:numPr>
        <w:spacing w:after="80" w:line="300"/>
      </w:pPr>
      <w:r>
        <w:t xml:space="preserve">We process your data to run TrainMind AI: account, workouts, AI analyses, payments, security.</w:t>
      </w:r>
    </w:p>
    <w:p>
      <w:pPr>
        <w:pStyle w:val="ListParagraph"/>
        <w:numPr>
          <w:ilvl w:val="0"/>
          <w:numId w:val="2"/>
        </w:numPr>
        <w:spacing w:after="80" w:line="300"/>
      </w:pPr>
      <w:r>
        <w:t xml:space="preserve">Health and fitness data are processed </w:t>
      </w:r>
      <w:r>
        <w:rPr>
          <w:b/>
          <w:bCs/>
        </w:rPr>
        <w:t xml:space="preserve">only with your explicit consent</w:t>
      </w:r>
      <w:r>
        <w:t xml:space="preserve"> — you can withdraw it any time.</w:t>
      </w:r>
    </w:p>
    <w:p>
      <w:pPr>
        <w:pStyle w:val="ListParagraph"/>
        <w:numPr>
          <w:ilvl w:val="0"/>
          <w:numId w:val="2"/>
        </w:numPr>
        <w:spacing w:after="80" w:line="300"/>
      </w:pPr>
      <w:r>
        <w:t xml:space="preserve">Some providers (e.g. hosting, AI) may be outside the EU: we use legal safeguards (adequacy or SCC).</w:t>
      </w:r>
    </w:p>
    <w:p>
      <w:pPr>
        <w:pStyle w:val="ListParagraph"/>
        <w:numPr>
          <w:ilvl w:val="0"/>
          <w:numId w:val="2"/>
        </w:numPr>
        <w:spacing w:after="80" w:line="300"/>
      </w:pPr>
      <w:r>
        <w:t xml:space="preserve">You can access, rectify, delete, export your data and complain to the Garante.</w:t>
      </w:r>
    </w:p>
    <w:p>
      <w:pPr>
        <w:pStyle w:val="ListParagraph"/>
        <w:numPr>
          <w:ilvl w:val="0"/>
          <w:numId w:val="2"/>
        </w:numPr>
        <w:spacing w:after="80" w:line="300"/>
      </w:pPr>
      <w:r>
        <w:t xml:space="preserve">We do not sell your data and </w:t>
      </w:r>
      <w:r>
        <w:rPr>
          <w:b/>
          <w:bCs/>
        </w:rPr>
        <w:t xml:space="preserve">we do not use it to train third-party AI models</w:t>
      </w:r>
      <w:r>
        <w:t xml:space="preserve">.</w:t>
      </w:r>
    </w:p>
    <w:p>
      <w:pPr>
        <w:spacing w:after="140" w:line="300"/>
        <w:jc w:val="both"/>
      </w:pPr>
      <w:r>
        <w:t xml:space="preserve">This Privacy Policy describes how </w:t>
      </w:r>
      <w:r>
        <w:rPr>
          <w:b/>
          <w:bCs/>
        </w:rPr>
        <w:t xml:space="preserve">[COMPANY NAME / OWNER NAME]</w:t>
      </w:r>
      <w:r>
        <w:t xml:space="preserve">, with registered office at </w:t>
      </w:r>
      <w:r>
        <w:rPr>
          <w:b/>
          <w:bCs/>
        </w:rPr>
        <w:t xml:space="preserve">[REGISTERED ADDRESS]</w:t>
      </w:r>
      <w:r>
        <w:t xml:space="preserve"> (the "</w:t>
      </w:r>
      <w:r>
        <w:rPr>
          <w:b/>
          <w:bCs/>
        </w:rPr>
        <w:t xml:space="preserve">Controller</w:t>
      </w:r>
      <w:r>
        <w:t xml:space="preserve">", "</w:t>
      </w:r>
      <w:r>
        <w:rPr>
          <w:b/>
          <w:bCs/>
        </w:rPr>
        <w:t xml:space="preserve">we</w:t>
      </w:r>
      <w:r>
        <w:t xml:space="preserve">"), processes personal data of users of the TrainMind AI platform (the "</w:t>
      </w:r>
      <w:r>
        <w:rPr>
          <w:b/>
          <w:bCs/>
        </w:rPr>
        <w:t xml:space="preserve">Service</w:t>
      </w:r>
      <w:r>
        <w:t xml:space="preserve">"), in accordance with Regulation (EU) 2016/679 ("</w:t>
      </w:r>
      <w:r>
        <w:rPr>
          <w:b/>
          <w:bCs/>
        </w:rPr>
        <w:t xml:space="preserve">GDPR</w:t>
      </w:r>
      <w:r>
        <w:t xml:space="preserve">") and Italian Legislative Decree 196/2003 as amended. Privacy contact: </w:t>
      </w:r>
      <w:r>
        <w:rPr>
          <w:b/>
          <w:bCs/>
        </w:rPr>
        <w:t xml:space="preserve">[PRIVACY CONTACT EMAIL]</w:t>
      </w:r>
      <w:r>
        <w:t xml:space="preserve">. DPO: </w:t>
      </w:r>
      <w:r>
        <w:rPr>
          <w:b/>
          <w:bCs/>
        </w:rPr>
        <w:t xml:space="preserve">[DPO EMAIL if appointed]</w:t>
      </w:r>
      <w:r>
        <w:t xml:space="preserve">.</w:t>
      </w:r>
    </w:p>
    <w:p>
      <w:pPr>
        <w:spacing w:after="140" w:line="300"/>
        <w:jc w:val="both"/>
      </w:pPr>
      <w:r>
        <w:t xml:space="preserve">The Italian version is the </w:t>
      </w:r>
      <w:r>
        <w:rPr>
          <w:b/>
          <w:bCs/>
        </w:rPr>
        <w:t xml:space="preserve">controlling version</w:t>
      </w:r>
      <w:r>
        <w:t xml:space="preserve"> and prevails over any translation in case of discrepancy.</w:t>
      </w:r>
    </w:p>
    <w:p>
      <w:pPr>
        <w:pStyle w:val="Heading1"/>
        <w:spacing w:after="120" w:before="300"/>
      </w:pPr>
      <w:r>
        <w:t xml:space="preserve">1. Data we process</w:t>
      </w:r>
    </w:p>
    <w:p>
      <w:pPr>
        <w:pStyle w:val="ListParagraph"/>
        <w:numPr>
          <w:ilvl w:val="0"/>
          <w:numId w:val="2"/>
        </w:numPr>
        <w:spacing w:after="80" w:line="300"/>
      </w:pPr>
      <w:r>
        <w:t xml:space="preserve"/>
      </w:r>
      <w:r>
        <w:rPr>
          <w:b/>
          <w:bCs/>
        </w:rPr>
        <w:t xml:space="preserve">Account data</w:t>
      </w:r>
      <w:r>
        <w:t xml:space="preserve">: name, email, password (hashed), date of birth, role (athlete/coach), sport, preferred language, profile information.</w:t>
      </w:r>
    </w:p>
    <w:p>
      <w:pPr>
        <w:pStyle w:val="ListParagraph"/>
        <w:numPr>
          <w:ilvl w:val="0"/>
          <w:numId w:val="2"/>
        </w:numPr>
        <w:spacing w:after="80" w:line="300"/>
      </w:pPr>
      <w:r>
        <w:t xml:space="preserve"/>
      </w:r>
      <w:r>
        <w:rPr>
          <w:b/>
          <w:bCs/>
        </w:rPr>
        <w:t xml:space="preserve">Health and fitness data</w:t>
      </w:r>
      <w:r>
        <w:t xml:space="preserve"> (special category, Art. 9 GDPR): training sessions, loads, performance, body metrics (e.g. weight, heart rate from wearables), perceived exertion (RPE), sleep quality, mood/wellness, injuries or physical limitations you choose to record, anthropometric notes.</w:t>
      </w:r>
    </w:p>
    <w:p>
      <w:pPr>
        <w:pStyle w:val="ListParagraph"/>
        <w:numPr>
          <w:ilvl w:val="0"/>
          <w:numId w:val="2"/>
        </w:numPr>
        <w:spacing w:after="80" w:line="300"/>
      </w:pPr>
      <w:r>
        <w:t xml:space="preserve"/>
      </w:r>
      <w:r>
        <w:rPr>
          <w:b/>
          <w:bCs/>
        </w:rPr>
        <w:t xml:space="preserve">Payment data</w:t>
      </w:r>
      <w:r>
        <w:t xml:space="preserve">: subscription plan, transaction history, last 4 card digits, billing address. Full card details are processed by our payment provider (Stripe) and never stored by us.</w:t>
      </w:r>
    </w:p>
    <w:p>
      <w:pPr>
        <w:pStyle w:val="ListParagraph"/>
        <w:numPr>
          <w:ilvl w:val="0"/>
          <w:numId w:val="2"/>
        </w:numPr>
        <w:spacing w:after="80" w:line="300"/>
      </w:pPr>
      <w:r>
        <w:t xml:space="preserve"/>
      </w:r>
      <w:r>
        <w:rPr>
          <w:b/>
          <w:bCs/>
        </w:rPr>
        <w:t xml:space="preserve">Usage and device data</w:t>
      </w:r>
      <w:r>
        <w:t xml:space="preserve">: logs, IP address, device/browser type, operating system, app interactions, cookies and similar technologies (see the Cookie Policy).</w:t>
      </w:r>
    </w:p>
    <w:p>
      <w:pPr>
        <w:pStyle w:val="ListParagraph"/>
        <w:numPr>
          <w:ilvl w:val="0"/>
          <w:numId w:val="2"/>
        </w:numPr>
        <w:spacing w:after="80" w:line="300"/>
      </w:pPr>
      <w:r>
        <w:t xml:space="preserve"/>
      </w:r>
      <w:r>
        <w:rPr>
          <w:b/>
          <w:bCs/>
        </w:rPr>
        <w:t xml:space="preserve">Communications</w:t>
      </w:r>
      <w:r>
        <w:t xml:space="preserve">: support requests, correspondence, feedback.</w:t>
      </w:r>
    </w:p>
    <w:p>
      <w:pPr>
        <w:pStyle w:val="ListParagraph"/>
        <w:numPr>
          <w:ilvl w:val="0"/>
          <w:numId w:val="2"/>
        </w:numPr>
        <w:spacing w:after="80" w:line="300"/>
      </w:pPr>
      <w:r>
        <w:t xml:space="preserve"/>
      </w:r>
      <w:r>
        <w:rPr>
          <w:b/>
          <w:bCs/>
        </w:rPr>
        <w:t xml:space="preserve">AI content</w:t>
      </w:r>
      <w:r>
        <w:t xml:space="preserve">: prompts sent to the AI assistant and outputs received, linked to your account.</w:t>
      </w:r>
    </w:p>
    <w:p>
      <w:pPr>
        <w:pStyle w:val="Heading1"/>
        <w:spacing w:after="120" w:before="300"/>
      </w:pPr>
      <w:r>
        <w:t xml:space="preserve">2. Purposes and legal bases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00"/>
      </w:tblGrid>
      <w:tr>
        <w:trPr>
          <w:tblHeader/>
        </w:trPr>
        <w:tc>
          <w:tcPr>
            <w:tcW w:type="dxa" w:w="3300"/>
            <w:shd w:fill="E8EAF0" w:val="clear"/>
            <w:tcMar>
              <w:top w:type="dxa" w:w="80"/>
              <w:left w:type="dxa" w:w="120"/>
              <w:bottom w:type="dxa" w:w="80"/>
              <w:right w:type="dxa" w:w="120"/>
            </w:tcMar>
          </w:tcPr>
          <w:p>
            <w:pPr>
              <w:spacing w:line="260"/>
            </w:pPr>
            <w:r>
              <w:rPr>
                <w:b/>
                <w:bCs/>
                <w:sz w:val="19"/>
                <w:szCs w:val="19"/>
              </w:rPr>
              <w:t xml:space="preserve">Purpose</w:t>
            </w:r>
          </w:p>
        </w:tc>
        <w:tc>
          <w:tcPr>
            <w:tcW w:type="dxa" w:w="3300"/>
            <w:shd w:fill="E8EAF0" w:val="clear"/>
            <w:tcMar>
              <w:top w:type="dxa" w:w="80"/>
              <w:left w:type="dxa" w:w="120"/>
              <w:bottom w:type="dxa" w:w="80"/>
              <w:right w:type="dxa" w:w="120"/>
            </w:tcMar>
          </w:tcPr>
          <w:p>
            <w:pPr>
              <w:spacing w:line="260"/>
            </w:pPr>
            <w:r>
              <w:rPr>
                <w:b/>
                <w:bCs/>
                <w:sz w:val="19"/>
                <w:szCs w:val="19"/>
              </w:rPr>
              <w:t xml:space="preserve">Data</w:t>
            </w:r>
          </w:p>
        </w:tc>
        <w:tc>
          <w:tcPr>
            <w:tcW w:type="dxa" w:w="2700"/>
            <w:shd w:fill="E8EAF0" w:val="clear"/>
            <w:tcMar>
              <w:top w:type="dxa" w:w="80"/>
              <w:left w:type="dxa" w:w="120"/>
              <w:bottom w:type="dxa" w:w="80"/>
              <w:right w:type="dxa" w:w="120"/>
            </w:tcMar>
          </w:tcPr>
          <w:p>
            <w:pPr>
              <w:spacing w:line="260"/>
            </w:pPr>
            <w:r>
              <w:rPr>
                <w:b/>
                <w:bCs/>
                <w:sz w:val="19"/>
                <w:szCs w:val="19"/>
              </w:rPr>
              <w:t xml:space="preserve">Legal basis (GDPR)</w:t>
            </w:r>
          </w:p>
        </w:tc>
      </w:tr>
      <w:tr>
        <w:tc>
          <w:tcPr>
            <w:tcW w:type="dxa" w:w="3300"/>
            <w:tcMar>
              <w:top w:type="dxa" w:w="80"/>
              <w:left w:type="dxa" w:w="120"/>
              <w:bottom w:type="dxa" w:w="80"/>
              <w:right w:type="dxa" w:w="120"/>
            </w:tcMar>
          </w:tcPr>
          <w:p>
            <w:pPr>
              <w:spacing w:line="260"/>
            </w:pPr>
            <w:r>
              <w:rPr>
                <w:b w:val="false"/>
                <w:bCs w:val="false"/>
                <w:sz w:val="19"/>
                <w:szCs w:val="19"/>
              </w:rPr>
              <w:t xml:space="preserve">Providing the Service: account, training plans, tracking, sync, AI chat</w:t>
            </w:r>
          </w:p>
        </w:tc>
        <w:tc>
          <w:tcPr>
            <w:tcW w:type="dxa" w:w="3300"/>
            <w:tcMar>
              <w:top w:type="dxa" w:w="80"/>
              <w:left w:type="dxa" w:w="120"/>
              <w:bottom w:type="dxa" w:w="80"/>
              <w:right w:type="dxa" w:w="120"/>
            </w:tcMar>
          </w:tcPr>
          <w:p>
            <w:pPr>
              <w:spacing w:line="260"/>
            </w:pPr>
            <w:r>
              <w:rPr>
                <w:b w:val="false"/>
                <w:bCs w:val="false"/>
                <w:sz w:val="19"/>
                <w:szCs w:val="19"/>
              </w:rPr>
              <w:t xml:space="preserve">Account and usage data, AI content</w:t>
            </w:r>
          </w:p>
        </w:tc>
        <w:tc>
          <w:tcPr>
            <w:tcW w:type="dxa" w:w="2700"/>
            <w:tcMar>
              <w:top w:type="dxa" w:w="80"/>
              <w:left w:type="dxa" w:w="120"/>
              <w:bottom w:type="dxa" w:w="80"/>
              <w:right w:type="dxa" w:w="120"/>
            </w:tcMar>
          </w:tcPr>
          <w:p>
            <w:pPr>
              <w:spacing w:line="260"/>
            </w:pPr>
            <w:r>
              <w:rPr>
                <w:b w:val="false"/>
                <w:bCs w:val="false"/>
                <w:sz w:val="19"/>
                <w:szCs w:val="19"/>
              </w:rPr>
              <w:t xml:space="preserve">Art. 6(1)(b) — contract</w:t>
            </w:r>
          </w:p>
        </w:tc>
      </w:tr>
      <w:tr>
        <w:tc>
          <w:tcPr>
            <w:tcW w:type="dxa" w:w="3300"/>
            <w:tcMar>
              <w:top w:type="dxa" w:w="80"/>
              <w:left w:type="dxa" w:w="120"/>
              <w:bottom w:type="dxa" w:w="80"/>
              <w:right w:type="dxa" w:w="120"/>
            </w:tcMar>
          </w:tcPr>
          <w:p>
            <w:pPr>
              <w:spacing w:line="260"/>
            </w:pPr>
            <w:r>
              <w:rPr>
                <w:b w:val="false"/>
                <w:bCs w:val="false"/>
                <w:sz w:val="19"/>
                <w:szCs w:val="19"/>
              </w:rPr>
              <w:t xml:space="preserve">AI-based training suggestions and performance analysis using fitness/health data</w:t>
            </w:r>
          </w:p>
        </w:tc>
        <w:tc>
          <w:tcPr>
            <w:tcW w:type="dxa" w:w="3300"/>
            <w:tcMar>
              <w:top w:type="dxa" w:w="80"/>
              <w:left w:type="dxa" w:w="120"/>
              <w:bottom w:type="dxa" w:w="80"/>
              <w:right w:type="dxa" w:w="120"/>
            </w:tcMar>
          </w:tcPr>
          <w:p>
            <w:pPr>
              <w:spacing w:line="260"/>
            </w:pPr>
            <w:r>
              <w:rPr>
                <w:b w:val="false"/>
                <w:bCs w:val="false"/>
                <w:sz w:val="19"/>
                <w:szCs w:val="19"/>
              </w:rPr>
              <w:t xml:space="preserve">Health &amp; fitness data</w:t>
            </w:r>
          </w:p>
        </w:tc>
        <w:tc>
          <w:tcPr>
            <w:tcW w:type="dxa" w:w="2700"/>
            <w:tcMar>
              <w:top w:type="dxa" w:w="80"/>
              <w:left w:type="dxa" w:w="120"/>
              <w:bottom w:type="dxa" w:w="80"/>
              <w:right w:type="dxa" w:w="120"/>
            </w:tcMar>
          </w:tcPr>
          <w:p>
            <w:pPr>
              <w:spacing w:line="260"/>
            </w:pPr>
            <w:r>
              <w:rPr>
                <w:b w:val="false"/>
                <w:bCs w:val="false"/>
                <w:sz w:val="19"/>
                <w:szCs w:val="19"/>
              </w:rPr>
              <w:t xml:space="preserve">Art. 9(2)(a) — explicit consent</w:t>
            </w:r>
          </w:p>
        </w:tc>
      </w:tr>
      <w:tr>
        <w:tc>
          <w:tcPr>
            <w:tcW w:type="dxa" w:w="3300"/>
            <w:tcMar>
              <w:top w:type="dxa" w:w="80"/>
              <w:left w:type="dxa" w:w="120"/>
              <w:bottom w:type="dxa" w:w="80"/>
              <w:right w:type="dxa" w:w="120"/>
            </w:tcMar>
          </w:tcPr>
          <w:p>
            <w:pPr>
              <w:spacing w:line="260"/>
            </w:pPr>
            <w:r>
              <w:rPr>
                <w:b w:val="false"/>
                <w:bCs w:val="false"/>
                <w:sz w:val="19"/>
                <w:szCs w:val="19"/>
              </w:rPr>
              <w:t xml:space="preserve">Billing and subscription management</w:t>
            </w:r>
          </w:p>
        </w:tc>
        <w:tc>
          <w:tcPr>
            <w:tcW w:type="dxa" w:w="3300"/>
            <w:tcMar>
              <w:top w:type="dxa" w:w="80"/>
              <w:left w:type="dxa" w:w="120"/>
              <w:bottom w:type="dxa" w:w="80"/>
              <w:right w:type="dxa" w:w="120"/>
            </w:tcMar>
          </w:tcPr>
          <w:p>
            <w:pPr>
              <w:spacing w:line="260"/>
            </w:pPr>
            <w:r>
              <w:rPr>
                <w:b w:val="false"/>
                <w:bCs w:val="false"/>
                <w:sz w:val="19"/>
                <w:szCs w:val="19"/>
              </w:rPr>
              <w:t xml:space="preserve">Account, payment data</w:t>
            </w:r>
          </w:p>
        </w:tc>
        <w:tc>
          <w:tcPr>
            <w:tcW w:type="dxa" w:w="2700"/>
            <w:tcMar>
              <w:top w:type="dxa" w:w="80"/>
              <w:left w:type="dxa" w:w="120"/>
              <w:bottom w:type="dxa" w:w="80"/>
              <w:right w:type="dxa" w:w="120"/>
            </w:tcMar>
          </w:tcPr>
          <w:p>
            <w:pPr>
              <w:spacing w:line="260"/>
            </w:pPr>
            <w:r>
              <w:rPr>
                <w:b w:val="false"/>
                <w:bCs w:val="false"/>
                <w:sz w:val="19"/>
                <w:szCs w:val="19"/>
              </w:rPr>
              <w:t xml:space="preserve">Art. 6(1)(b) contract; Art. 6(1)(c) legal obligations</w:t>
            </w:r>
          </w:p>
        </w:tc>
      </w:tr>
      <w:tr>
        <w:tc>
          <w:tcPr>
            <w:tcW w:type="dxa" w:w="3300"/>
            <w:tcMar>
              <w:top w:type="dxa" w:w="80"/>
              <w:left w:type="dxa" w:w="120"/>
              <w:bottom w:type="dxa" w:w="80"/>
              <w:right w:type="dxa" w:w="120"/>
            </w:tcMar>
          </w:tcPr>
          <w:p>
            <w:pPr>
              <w:spacing w:line="260"/>
            </w:pPr>
            <w:r>
              <w:rPr>
                <w:b w:val="false"/>
                <w:bCs w:val="false"/>
                <w:sz w:val="19"/>
                <w:szCs w:val="19"/>
              </w:rPr>
              <w:t xml:space="preserve">Service security, fraud/abuse prevention, resilience</w:t>
            </w:r>
          </w:p>
        </w:tc>
        <w:tc>
          <w:tcPr>
            <w:tcW w:type="dxa" w:w="3300"/>
            <w:tcMar>
              <w:top w:type="dxa" w:w="80"/>
              <w:left w:type="dxa" w:w="120"/>
              <w:bottom w:type="dxa" w:w="80"/>
              <w:right w:type="dxa" w:w="120"/>
            </w:tcMar>
          </w:tcPr>
          <w:p>
            <w:pPr>
              <w:spacing w:line="260"/>
            </w:pPr>
            <w:r>
              <w:rPr>
                <w:b w:val="false"/>
                <w:bCs w:val="false"/>
                <w:sz w:val="19"/>
                <w:szCs w:val="19"/>
              </w:rPr>
              <w:t xml:space="preserve">Usage, device data</w:t>
            </w:r>
          </w:p>
        </w:tc>
        <w:tc>
          <w:tcPr>
            <w:tcW w:type="dxa" w:w="2700"/>
            <w:tcMar>
              <w:top w:type="dxa" w:w="80"/>
              <w:left w:type="dxa" w:w="120"/>
              <w:bottom w:type="dxa" w:w="80"/>
              <w:right w:type="dxa" w:w="120"/>
            </w:tcMar>
          </w:tcPr>
          <w:p>
            <w:pPr>
              <w:spacing w:line="260"/>
            </w:pPr>
            <w:r>
              <w:rPr>
                <w:b w:val="false"/>
                <w:bCs w:val="false"/>
                <w:sz w:val="19"/>
                <w:szCs w:val="19"/>
              </w:rPr>
              <w:t xml:space="preserve">Art. 6(1)(f) — legitimate interest</w:t>
            </w:r>
          </w:p>
        </w:tc>
      </w:tr>
      <w:tr>
        <w:tc>
          <w:tcPr>
            <w:tcW w:type="dxa" w:w="3300"/>
            <w:tcMar>
              <w:top w:type="dxa" w:w="80"/>
              <w:left w:type="dxa" w:w="120"/>
              <w:bottom w:type="dxa" w:w="80"/>
              <w:right w:type="dxa" w:w="120"/>
            </w:tcMar>
          </w:tcPr>
          <w:p>
            <w:pPr>
              <w:spacing w:line="260"/>
            </w:pPr>
            <w:r>
              <w:rPr>
                <w:b w:val="false"/>
                <w:bCs w:val="false"/>
                <w:sz w:val="19"/>
                <w:szCs w:val="19"/>
              </w:rPr>
              <w:t xml:space="preserve">Product improvement and aggregate statistics</w:t>
            </w:r>
          </w:p>
        </w:tc>
        <w:tc>
          <w:tcPr>
            <w:tcW w:type="dxa" w:w="3300"/>
            <w:tcMar>
              <w:top w:type="dxa" w:w="80"/>
              <w:left w:type="dxa" w:w="120"/>
              <w:bottom w:type="dxa" w:w="80"/>
              <w:right w:type="dxa" w:w="120"/>
            </w:tcMar>
          </w:tcPr>
          <w:p>
            <w:pPr>
              <w:spacing w:line="260"/>
            </w:pPr>
            <w:r>
              <w:rPr>
                <w:b w:val="false"/>
                <w:bCs w:val="false"/>
                <w:sz w:val="19"/>
                <w:szCs w:val="19"/>
              </w:rPr>
              <w:t xml:space="preserve">Usage data (aggregated/pseudonymised)</w:t>
            </w:r>
          </w:p>
        </w:tc>
        <w:tc>
          <w:tcPr>
            <w:tcW w:type="dxa" w:w="2700"/>
            <w:tcMar>
              <w:top w:type="dxa" w:w="80"/>
              <w:left w:type="dxa" w:w="120"/>
              <w:bottom w:type="dxa" w:w="80"/>
              <w:right w:type="dxa" w:w="120"/>
            </w:tcMar>
          </w:tcPr>
          <w:p>
            <w:pPr>
              <w:spacing w:line="260"/>
            </w:pPr>
            <w:r>
              <w:rPr>
                <w:b w:val="false"/>
                <w:bCs w:val="false"/>
                <w:sz w:val="19"/>
                <w:szCs w:val="19"/>
              </w:rPr>
              <w:t xml:space="preserve">Art. 6(1)(f) — legitimate interest</w:t>
            </w:r>
          </w:p>
        </w:tc>
      </w:tr>
      <w:tr>
        <w:tc>
          <w:tcPr>
            <w:tcW w:type="dxa" w:w="3300"/>
            <w:tcMar>
              <w:top w:type="dxa" w:w="80"/>
              <w:left w:type="dxa" w:w="120"/>
              <w:bottom w:type="dxa" w:w="80"/>
              <w:right w:type="dxa" w:w="120"/>
            </w:tcMar>
          </w:tcPr>
          <w:p>
            <w:pPr>
              <w:spacing w:line="260"/>
            </w:pPr>
            <w:r>
              <w:rPr>
                <w:b w:val="false"/>
                <w:bCs w:val="false"/>
                <w:sz w:val="19"/>
                <w:szCs w:val="19"/>
              </w:rPr>
              <w:t xml:space="preserve">Service communications (transactional) and essential in-app notices</w:t>
            </w:r>
          </w:p>
        </w:tc>
        <w:tc>
          <w:tcPr>
            <w:tcW w:type="dxa" w:w="3300"/>
            <w:tcMar>
              <w:top w:type="dxa" w:w="80"/>
              <w:left w:type="dxa" w:w="120"/>
              <w:bottom w:type="dxa" w:w="80"/>
              <w:right w:type="dxa" w:w="120"/>
            </w:tcMar>
          </w:tcPr>
          <w:p>
            <w:pPr>
              <w:spacing w:line="260"/>
            </w:pPr>
            <w:r>
              <w:rPr>
                <w:b w:val="false"/>
                <w:bCs w:val="false"/>
                <w:sz w:val="19"/>
                <w:szCs w:val="19"/>
              </w:rPr>
              <w:t xml:space="preserve">Email, account data</w:t>
            </w:r>
          </w:p>
        </w:tc>
        <w:tc>
          <w:tcPr>
            <w:tcW w:type="dxa" w:w="2700"/>
            <w:tcMar>
              <w:top w:type="dxa" w:w="80"/>
              <w:left w:type="dxa" w:w="120"/>
              <w:bottom w:type="dxa" w:w="80"/>
              <w:right w:type="dxa" w:w="120"/>
            </w:tcMar>
          </w:tcPr>
          <w:p>
            <w:pPr>
              <w:spacing w:line="260"/>
            </w:pPr>
            <w:r>
              <w:rPr>
                <w:b w:val="false"/>
                <w:bCs w:val="false"/>
                <w:sz w:val="19"/>
                <w:szCs w:val="19"/>
              </w:rPr>
              <w:t xml:space="preserve">Art. 6(1)(b) — contract</w:t>
            </w:r>
          </w:p>
        </w:tc>
      </w:tr>
      <w:tr>
        <w:tc>
          <w:tcPr>
            <w:tcW w:type="dxa" w:w="3300"/>
            <w:tcMar>
              <w:top w:type="dxa" w:w="80"/>
              <w:left w:type="dxa" w:w="120"/>
              <w:bottom w:type="dxa" w:w="80"/>
              <w:right w:type="dxa" w:w="120"/>
            </w:tcMar>
          </w:tcPr>
          <w:p>
            <w:pPr>
              <w:spacing w:line="260"/>
            </w:pPr>
            <w:r>
              <w:rPr>
                <w:b w:val="false"/>
                <w:bCs w:val="false"/>
                <w:sz w:val="19"/>
                <w:szCs w:val="19"/>
              </w:rPr>
              <w:t xml:space="preserve">Marketing communications (newsletter, offers, surveys)</w:t>
            </w:r>
          </w:p>
        </w:tc>
        <w:tc>
          <w:tcPr>
            <w:tcW w:type="dxa" w:w="3300"/>
            <w:tcMar>
              <w:top w:type="dxa" w:w="80"/>
              <w:left w:type="dxa" w:w="120"/>
              <w:bottom w:type="dxa" w:w="80"/>
              <w:right w:type="dxa" w:w="120"/>
            </w:tcMar>
          </w:tcPr>
          <w:p>
            <w:pPr>
              <w:spacing w:line="260"/>
            </w:pPr>
            <w:r>
              <w:rPr>
                <w:b w:val="false"/>
                <w:bCs w:val="false"/>
                <w:sz w:val="19"/>
                <w:szCs w:val="19"/>
              </w:rPr>
              <w:t xml:space="preserve">Email, account data</w:t>
            </w:r>
          </w:p>
        </w:tc>
        <w:tc>
          <w:tcPr>
            <w:tcW w:type="dxa" w:w="2700"/>
            <w:tcMar>
              <w:top w:type="dxa" w:w="80"/>
              <w:left w:type="dxa" w:w="120"/>
              <w:bottom w:type="dxa" w:w="80"/>
              <w:right w:type="dxa" w:w="120"/>
            </w:tcMar>
          </w:tcPr>
          <w:p>
            <w:pPr>
              <w:spacing w:line="260"/>
            </w:pPr>
            <w:r>
              <w:rPr>
                <w:b w:val="false"/>
                <w:bCs w:val="false"/>
                <w:sz w:val="19"/>
                <w:szCs w:val="19"/>
              </w:rPr>
              <w:t xml:space="preserve">Art. 6(1)(a) — consent (revocable any time)</w:t>
            </w:r>
          </w:p>
        </w:tc>
      </w:tr>
      <w:tr>
        <w:tc>
          <w:tcPr>
            <w:tcW w:type="dxa" w:w="3300"/>
            <w:tcMar>
              <w:top w:type="dxa" w:w="80"/>
              <w:left w:type="dxa" w:w="120"/>
              <w:bottom w:type="dxa" w:w="80"/>
              <w:right w:type="dxa" w:w="120"/>
            </w:tcMar>
          </w:tcPr>
          <w:p>
            <w:pPr>
              <w:spacing w:line="260"/>
            </w:pPr>
            <w:r>
              <w:rPr>
                <w:b w:val="false"/>
                <w:bCs w:val="false"/>
                <w:sz w:val="19"/>
                <w:szCs w:val="19"/>
              </w:rPr>
              <w:t xml:space="preserve">Analytics and marketing cookies</w:t>
            </w:r>
          </w:p>
        </w:tc>
        <w:tc>
          <w:tcPr>
            <w:tcW w:type="dxa" w:w="3300"/>
            <w:tcMar>
              <w:top w:type="dxa" w:w="80"/>
              <w:left w:type="dxa" w:w="120"/>
              <w:bottom w:type="dxa" w:w="80"/>
              <w:right w:type="dxa" w:w="120"/>
            </w:tcMar>
          </w:tcPr>
          <w:p>
            <w:pPr>
              <w:spacing w:line="260"/>
            </w:pPr>
            <w:r>
              <w:rPr>
                <w:b w:val="false"/>
                <w:bCs w:val="false"/>
                <w:sz w:val="19"/>
                <w:szCs w:val="19"/>
              </w:rPr>
              <w:t xml:space="preserve">Cookie/device data</w:t>
            </w:r>
          </w:p>
        </w:tc>
        <w:tc>
          <w:tcPr>
            <w:tcW w:type="dxa" w:w="2700"/>
            <w:tcMar>
              <w:top w:type="dxa" w:w="80"/>
              <w:left w:type="dxa" w:w="120"/>
              <w:bottom w:type="dxa" w:w="80"/>
              <w:right w:type="dxa" w:w="120"/>
            </w:tcMar>
          </w:tcPr>
          <w:p>
            <w:pPr>
              <w:spacing w:line="260"/>
            </w:pPr>
            <w:r>
              <w:rPr>
                <w:b w:val="false"/>
                <w:bCs w:val="false"/>
                <w:sz w:val="19"/>
                <w:szCs w:val="19"/>
              </w:rPr>
              <w:t xml:space="preserve">Consent (see Cookie Policy)</w:t>
            </w:r>
          </w:p>
        </w:tc>
      </w:tr>
      <w:tr>
        <w:tc>
          <w:tcPr>
            <w:tcW w:type="dxa" w:w="3300"/>
            <w:tcMar>
              <w:top w:type="dxa" w:w="80"/>
              <w:left w:type="dxa" w:w="120"/>
              <w:bottom w:type="dxa" w:w="80"/>
              <w:right w:type="dxa" w:w="120"/>
            </w:tcMar>
          </w:tcPr>
          <w:p>
            <w:pPr>
              <w:spacing w:line="260"/>
            </w:pPr>
            <w:r>
              <w:rPr>
                <w:b w:val="false"/>
                <w:bCs w:val="false"/>
                <w:sz w:val="19"/>
                <w:szCs w:val="19"/>
              </w:rPr>
              <w:t xml:space="preserve">Legal obligations (tax, accounting, DSA, AI Act, authority requests)</w:t>
            </w:r>
          </w:p>
        </w:tc>
        <w:tc>
          <w:tcPr>
            <w:tcW w:type="dxa" w:w="3300"/>
            <w:tcMar>
              <w:top w:type="dxa" w:w="80"/>
              <w:left w:type="dxa" w:w="120"/>
              <w:bottom w:type="dxa" w:w="80"/>
              <w:right w:type="dxa" w:w="120"/>
            </w:tcMar>
          </w:tcPr>
          <w:p>
            <w:pPr>
              <w:spacing w:line="260"/>
            </w:pPr>
            <w:r>
              <w:rPr>
                <w:b w:val="false"/>
                <w:bCs w:val="false"/>
                <w:sz w:val="19"/>
                <w:szCs w:val="19"/>
              </w:rPr>
              <w:t xml:space="preserve">Account, payment data</w:t>
            </w:r>
          </w:p>
        </w:tc>
        <w:tc>
          <w:tcPr>
            <w:tcW w:type="dxa" w:w="2700"/>
            <w:tcMar>
              <w:top w:type="dxa" w:w="80"/>
              <w:left w:type="dxa" w:w="120"/>
              <w:bottom w:type="dxa" w:w="80"/>
              <w:right w:type="dxa" w:w="120"/>
            </w:tcMar>
          </w:tcPr>
          <w:p>
            <w:pPr>
              <w:spacing w:line="260"/>
            </w:pPr>
            <w:r>
              <w:rPr>
                <w:b w:val="false"/>
                <w:bCs w:val="false"/>
                <w:sz w:val="19"/>
                <w:szCs w:val="19"/>
              </w:rPr>
              <w:t xml:space="preserve">Art. 6(1)(c) — legal obligation</w:t>
            </w:r>
          </w:p>
        </w:tc>
      </w:tr>
      <w:tr>
        <w:tc>
          <w:tcPr>
            <w:tcW w:type="dxa" w:w="3300"/>
            <w:tcMar>
              <w:top w:type="dxa" w:w="80"/>
              <w:left w:type="dxa" w:w="120"/>
              <w:bottom w:type="dxa" w:w="80"/>
              <w:right w:type="dxa" w:w="120"/>
            </w:tcMar>
          </w:tcPr>
          <w:p>
            <w:pPr>
              <w:spacing w:line="260"/>
            </w:pPr>
            <w:r>
              <w:rPr>
                <w:b w:val="false"/>
                <w:bCs w:val="false"/>
                <w:sz w:val="19"/>
                <w:szCs w:val="19"/>
              </w:rPr>
              <w:t xml:space="preserve">Legal defence and enforcement of rights</w:t>
            </w:r>
          </w:p>
        </w:tc>
        <w:tc>
          <w:tcPr>
            <w:tcW w:type="dxa" w:w="3300"/>
            <w:tcMar>
              <w:top w:type="dxa" w:w="80"/>
              <w:left w:type="dxa" w:w="120"/>
              <w:bottom w:type="dxa" w:w="80"/>
              <w:right w:type="dxa" w:w="120"/>
            </w:tcMar>
          </w:tcPr>
          <w:p>
            <w:pPr>
              <w:spacing w:line="260"/>
            </w:pPr>
            <w:r>
              <w:rPr>
                <w:b w:val="false"/>
                <w:bCs w:val="false"/>
                <w:sz w:val="19"/>
                <w:szCs w:val="19"/>
              </w:rPr>
              <w:t xml:space="preserve">Data needed for the defence</w:t>
            </w:r>
          </w:p>
        </w:tc>
        <w:tc>
          <w:tcPr>
            <w:tcW w:type="dxa" w:w="2700"/>
            <w:tcMar>
              <w:top w:type="dxa" w:w="80"/>
              <w:left w:type="dxa" w:w="120"/>
              <w:bottom w:type="dxa" w:w="80"/>
              <w:right w:type="dxa" w:w="120"/>
            </w:tcMar>
          </w:tcPr>
          <w:p>
            <w:pPr>
              <w:spacing w:line="260"/>
            </w:pPr>
            <w:r>
              <w:rPr>
                <w:b w:val="false"/>
                <w:bCs w:val="false"/>
                <w:sz w:val="19"/>
                <w:szCs w:val="19"/>
              </w:rPr>
              <w:t xml:space="preserve">Art. 6(1)(f) / 9(2)(f)</w:t>
            </w:r>
          </w:p>
        </w:tc>
      </w:tr>
    </w:tbl>
    <w:p>
      <w:pPr>
        <w:spacing w:after="140"/>
      </w:pPr>
    </w:p>
    <w:p>
      <w:pPr>
        <w:spacing w:after="140" w:line="300"/>
        <w:jc w:val="both"/>
      </w:pPr>
      <w:r>
        <w:t xml:space="preserve"/>
      </w:r>
      <w:r>
        <w:rPr>
          <w:b/>
          <w:bCs/>
        </w:rPr>
        <w:t xml:space="preserve">Health and fitness data are processed only with your explicit consent</w:t>
      </w:r>
      <w:r>
        <w:t xml:space="preserve">, requested at registration or when you activate the relevant features. You may withdraw consent at any time from your account settings or by writing to </w:t>
      </w:r>
      <w:r>
        <w:rPr>
          <w:b/>
          <w:bCs/>
        </w:rPr>
        <w:t xml:space="preserve">[PRIVACY CONTACT EMAIL]</w:t>
      </w:r>
      <w:r>
        <w:t xml:space="preserve">; withdrawal does not affect processing carried out before withdrawal, but some features (e.g. AI training plans) will no longer be available.</w:t>
      </w:r>
    </w:p>
    <w:p>
      <w:pPr>
        <w:pStyle w:val="Heading1"/>
        <w:spacing w:after="120" w:before="300"/>
      </w:pPr>
      <w:r>
        <w:t xml:space="preserve">3. AI processing and automated decision-making</w:t>
      </w:r>
    </w:p>
    <w:p>
      <w:pPr>
        <w:spacing w:after="140" w:line="300"/>
        <w:jc w:val="both"/>
      </w:pPr>
      <w:r>
        <w:t xml:space="preserve">The Service uses AI models to generate training suggestions and analyses from your data. This constitutes profiling limited to sports/fitness purposes. </w:t>
      </w:r>
      <w:r>
        <w:rPr>
          <w:b/>
          <w:bCs/>
        </w:rPr>
        <w:t xml:space="preserve">No decision producing legal effects or similarly significant effects on you is taken solely by automated means</w:t>
      </w:r>
      <w:r>
        <w:t xml:space="preserve"> under Art. 22 GDPR: AI outputs are suggestions that you (or your coach) remain free to accept, modify or ignore.</w:t>
      </w:r>
    </w:p>
    <w:p>
      <w:pPr>
        <w:spacing w:after="140" w:line="300"/>
        <w:jc w:val="both"/>
      </w:pPr>
      <w:r>
        <w:t xml:space="preserve">Where third-party AI providers are used (e.g. </w:t>
      </w:r>
      <w:r>
        <w:rPr>
          <w:b/>
          <w:bCs/>
        </w:rPr>
        <w:t xml:space="preserve">[AI PROVIDER(S)]</w:t>
      </w:r>
      <w:r>
        <w:t xml:space="preserve">), they act as processors under Art. 28 GDPR and </w:t>
      </w:r>
      <w:r>
        <w:rPr>
          <w:b/>
          <w:bCs/>
        </w:rPr>
        <w:t xml:space="preserve">are contractually prohibited from using your data to train their models</w:t>
      </w:r>
      <w:r>
        <w:t xml:space="preserve">; where necessary, data is minimised or pseudonymised before submission. You may request human review of, or contest, any output that significantly affects you by writing to </w:t>
      </w:r>
      <w:r>
        <w:rPr>
          <w:b/>
          <w:bCs/>
        </w:rPr>
        <w:t xml:space="preserve">[PRIVACY CONTACT EMAIL]</w:t>
      </w:r>
      <w:r>
        <w:t xml:space="preserve">.</w:t>
      </w:r>
    </w:p>
    <w:p>
      <w:pPr>
        <w:spacing w:after="140" w:line="300"/>
        <w:jc w:val="both"/>
      </w:pPr>
      <w:r>
        <w:t xml:space="preserve"/>
      </w:r>
      <w:r>
        <w:rPr>
          <w:b/>
          <w:bCs/>
        </w:rPr>
        <w:t xml:space="preserve">EU AI Act (Reg. (EU) 2024/1689).</w:t>
      </w:r>
      <w:r>
        <w:t xml:space="preserve"> The AI features of the Service fall within the transparency regime of Article 50 of the AI Act, applicable from 2 August 2026: you are informed when you interact with an AI system, and AI-generated content is identified as such. Based on our assessment, the Service is </w:t>
      </w:r>
      <w:r>
        <w:rPr>
          <w:b/>
          <w:bCs/>
        </w:rPr>
        <w:t xml:space="preserve">not a high-risk AI system</w:t>
      </w:r>
      <w:r>
        <w:t xml:space="preserve"> under Annex III of the AI Act, does not perform emotion recognition or biometric categorisation, and does not engage in any practice prohibited under Article 5. This assessment is documented and reviewed in light of European Commission guidance and subsequent amendments (including the 2026 "AI Digital Omnibus" regulation).</w:t>
      </w:r>
    </w:p>
    <w:p>
      <w:pPr>
        <w:pStyle w:val="Heading1"/>
        <w:spacing w:after="120" w:before="300"/>
      </w:pPr>
      <w:r>
        <w:t xml:space="preserve">4. Recipients and processors</w:t>
      </w:r>
    </w:p>
    <w:p>
      <w:pPr>
        <w:spacing w:after="140" w:line="300"/>
        <w:jc w:val="both"/>
      </w:pPr>
      <w:r>
        <w:t xml:space="preserve">Data may be shared with: (i) technical suppliers appointed as processors (hosting and cloud infrastructure, e.g. </w:t>
      </w:r>
      <w:r>
        <w:rPr>
          <w:b/>
          <w:bCs/>
        </w:rPr>
        <w:t xml:space="preserve">[HOSTING PROVIDER]</w:t>
      </w:r>
      <w:r>
        <w:t xml:space="preserve">; transactional email; payments — Stripe; analytics; AI model providers); (ii) coaches or team staff you explicitly connect through the Service (the coach then acts as </w:t>
      </w:r>
      <w:r>
        <w:rPr>
          <w:b/>
          <w:bCs/>
        </w:rPr>
        <w:t xml:space="preserve">joint controller or independent controller</w:t>
      </w:r>
      <w:r>
        <w:t xml:space="preserve"> depending on context, governed by an Art. 26 or Art. 28 GDPR agreement); (iii) competent authorities where required by law; (iv) professional advisors bound by confidentiality. An </w:t>
      </w:r>
      <w:r>
        <w:rPr>
          <w:b/>
          <w:bCs/>
        </w:rPr>
        <w:t xml:space="preserve">updated list of processors</w:t>
      </w:r>
      <w:r>
        <w:t xml:space="preserve"> is available on request at </w:t>
      </w:r>
      <w:r>
        <w:rPr>
          <w:b/>
          <w:bCs/>
        </w:rPr>
        <w:t xml:space="preserve">[PRIVACY CONTACT EMAIL]</w:t>
      </w:r>
      <w:r>
        <w:t xml:space="preserve">. </w:t>
      </w:r>
      <w:r>
        <w:rPr>
          <w:b/>
          <w:bCs/>
        </w:rPr>
        <w:t xml:space="preserve">We do not sell your personal data</w:t>
      </w:r>
      <w:r>
        <w:t xml:space="preserve"> and do not trade it with advertising brokers.</w:t>
      </w:r>
    </w:p>
    <w:p>
      <w:pPr>
        <w:pStyle w:val="Heading1"/>
        <w:spacing w:after="120" w:before="300"/>
      </w:pPr>
      <w:r>
        <w:t xml:space="preserve">5. Transfers outside the EEA</w:t>
      </w:r>
    </w:p>
    <w:p>
      <w:pPr>
        <w:spacing w:after="140" w:line="300"/>
        <w:jc w:val="both"/>
      </w:pPr>
      <w:r>
        <w:t xml:space="preserve">Some suppliers may be established outside the European Economic Area (e.g. the United States). In such cases, transfers take place on the basis of:</w:t>
      </w:r>
    </w:p>
    <w:p>
      <w:pPr>
        <w:pStyle w:val="ListParagraph"/>
        <w:numPr>
          <w:ilvl w:val="0"/>
          <w:numId w:val="2"/>
        </w:numPr>
        <w:spacing w:after="80" w:line="300"/>
      </w:pPr>
      <w:r>
        <w:t xml:space="preserve">a Commission </w:t>
      </w:r>
      <w:r>
        <w:rPr>
          <w:b/>
          <w:bCs/>
        </w:rPr>
        <w:t xml:space="preserve">adequacy decision</w:t>
      </w:r>
      <w:r>
        <w:t xml:space="preserve"> (including the EU-U.S. Data Privacy Framework where the recipient is certified);</w:t>
      </w:r>
    </w:p>
    <w:p>
      <w:pPr>
        <w:pStyle w:val="ListParagraph"/>
        <w:numPr>
          <w:ilvl w:val="0"/>
          <w:numId w:val="2"/>
        </w:numPr>
        <w:spacing w:after="80" w:line="300"/>
      </w:pPr>
      <w:r>
        <w:t xml:space="preserve"/>
      </w:r>
      <w:r>
        <w:rPr>
          <w:b/>
          <w:bCs/>
        </w:rPr>
        <w:t xml:space="preserve">Standard Contractual Clauses (SCC)</w:t>
      </w:r>
      <w:r>
        <w:t xml:space="preserve"> under Art. 46 GDPR, with supplementary measures (encryption, pseudonymisation, strengthened contracts) identified through a transfer impact assessment (TIA);</w:t>
      </w:r>
    </w:p>
    <w:p>
      <w:pPr>
        <w:pStyle w:val="ListParagraph"/>
        <w:numPr>
          <w:ilvl w:val="0"/>
          <w:numId w:val="2"/>
        </w:numPr>
        <w:spacing w:after="80" w:line="300"/>
      </w:pPr>
      <w:r>
        <w:t xml:space="preserve"/>
      </w:r>
      <w:r>
        <w:rPr>
          <w:b/>
          <w:bCs/>
        </w:rPr>
        <w:t xml:space="preserve">derogations</w:t>
      </w:r>
      <w:r>
        <w:t xml:space="preserve"> under Art. 49 GDPR in the limited cases where they apply.</w:t>
      </w:r>
    </w:p>
    <w:p>
      <w:pPr>
        <w:spacing w:after="140" w:line="300"/>
        <w:jc w:val="both"/>
      </w:pPr>
      <w:r>
        <w:t xml:space="preserve">Copies of the safeguards are available on request at </w:t>
      </w:r>
      <w:r>
        <w:rPr>
          <w:b/>
          <w:bCs/>
        </w:rPr>
        <w:t xml:space="preserve">[PRIVACY CONTACT EMAIL]</w:t>
      </w:r>
      <w:r>
        <w:t xml:space="preserve">.</w:t>
      </w:r>
    </w:p>
    <w:p>
      <w:pPr>
        <w:pStyle w:val="Heading1"/>
        <w:spacing w:after="120" w:before="300"/>
      </w:pPr>
      <w:r>
        <w:t xml:space="preserve">6. Retention</w:t>
      </w:r>
    </w:p>
    <w:p>
      <w:pPr>
        <w:pStyle w:val="ListParagraph"/>
        <w:numPr>
          <w:ilvl w:val="0"/>
          <w:numId w:val="2"/>
        </w:numPr>
        <w:spacing w:after="80" w:line="300"/>
      </w:pPr>
      <w:r>
        <w:t xml:space="preserve">Account and profile data: for as long as the account is active, then deleted or anonymised within </w:t>
      </w:r>
      <w:r>
        <w:rPr>
          <w:b/>
          <w:bCs/>
        </w:rPr>
        <w:t xml:space="preserve">30 days</w:t>
      </w:r>
      <w:r>
        <w:t xml:space="preserve"> of deletion (subject to longer legal retention obligations).</w:t>
      </w:r>
    </w:p>
    <w:p>
      <w:pPr>
        <w:pStyle w:val="ListParagraph"/>
        <w:numPr>
          <w:ilvl w:val="0"/>
          <w:numId w:val="2"/>
        </w:numPr>
        <w:spacing w:after="80" w:line="300"/>
      </w:pPr>
      <w:r>
        <w:t xml:space="preserve">Health and fitness data: until consent is withdrawn or the account is deleted, then irreversibly deleted or anonymised.</w:t>
      </w:r>
    </w:p>
    <w:p>
      <w:pPr>
        <w:pStyle w:val="ListParagraph"/>
        <w:numPr>
          <w:ilvl w:val="0"/>
          <w:numId w:val="2"/>
        </w:numPr>
        <w:spacing w:after="80" w:line="300"/>
      </w:pPr>
      <w:r>
        <w:t xml:space="preserve">AI content (prompts and outputs): for the account lifetime and up to </w:t>
      </w:r>
      <w:r>
        <w:rPr>
          <w:b/>
          <w:bCs/>
        </w:rPr>
        <w:t xml:space="preserve">24 months</w:t>
      </w:r>
      <w:r>
        <w:t xml:space="preserve"> for security, debugging and improvement purposes.</w:t>
      </w:r>
    </w:p>
    <w:p>
      <w:pPr>
        <w:pStyle w:val="ListParagraph"/>
        <w:numPr>
          <w:ilvl w:val="0"/>
          <w:numId w:val="2"/>
        </w:numPr>
        <w:spacing w:after="80" w:line="300"/>
      </w:pPr>
      <w:r>
        <w:t xml:space="preserve">Billing and tax records: </w:t>
      </w:r>
      <w:r>
        <w:rPr>
          <w:b/>
          <w:bCs/>
        </w:rPr>
        <w:t xml:space="preserve">10 years</w:t>
      </w:r>
      <w:r>
        <w:t xml:space="preserve"> (Italian legal obligation).</w:t>
      </w:r>
    </w:p>
    <w:p>
      <w:pPr>
        <w:pStyle w:val="ListParagraph"/>
        <w:numPr>
          <w:ilvl w:val="0"/>
          <w:numId w:val="2"/>
        </w:numPr>
        <w:spacing w:after="80" w:line="300"/>
      </w:pPr>
      <w:r>
        <w:t xml:space="preserve">Security logs: up to </w:t>
      </w:r>
      <w:r>
        <w:rPr>
          <w:b/>
          <w:bCs/>
        </w:rPr>
        <w:t xml:space="preserve">12 months</w:t>
      </w:r>
      <w:r>
        <w:t xml:space="preserve">.</w:t>
      </w:r>
    </w:p>
    <w:p>
      <w:pPr>
        <w:pStyle w:val="ListParagraph"/>
        <w:numPr>
          <w:ilvl w:val="0"/>
          <w:numId w:val="2"/>
        </w:numPr>
        <w:spacing w:after="80" w:line="300"/>
      </w:pPr>
      <w:r>
        <w:t xml:space="preserve">Marketing consents and contact data: until withdrawal or after </w:t>
      </w:r>
      <w:r>
        <w:rPr>
          <w:b/>
          <w:bCs/>
        </w:rPr>
        <w:t xml:space="preserve">24 months</w:t>
      </w:r>
      <w:r>
        <w:t xml:space="preserve"> of inactivity.</w:t>
      </w:r>
    </w:p>
    <w:p>
      <w:pPr>
        <w:pStyle w:val="ListParagraph"/>
        <w:numPr>
          <w:ilvl w:val="0"/>
          <w:numId w:val="2"/>
        </w:numPr>
        <w:spacing w:after="80" w:line="300"/>
      </w:pPr>
      <w:r>
        <w:t xml:space="preserve">Backups: overwritten on a rotation cycle of no more than </w:t>
      </w:r>
      <w:r>
        <w:rPr>
          <w:b/>
          <w:bCs/>
        </w:rPr>
        <w:t xml:space="preserve">90 days</w:t>
      </w:r>
      <w:r>
        <w:t xml:space="preserve">.</w:t>
      </w:r>
    </w:p>
    <w:p>
      <w:pPr>
        <w:pStyle w:val="Heading1"/>
        <w:spacing w:after="120" w:before="300"/>
      </w:pPr>
      <w:r>
        <w:t xml:space="preserve">7. Your rights</w:t>
      </w:r>
    </w:p>
    <w:p>
      <w:pPr>
        <w:spacing w:after="140" w:line="300"/>
        <w:jc w:val="both"/>
      </w:pPr>
      <w:r>
        <w:t xml:space="preserve">Under Arts. 15–22 GDPR you have the right to: </w:t>
      </w:r>
      <w:r>
        <w:rPr>
          <w:b/>
          <w:bCs/>
        </w:rPr>
        <w:t xml:space="preserve">access</w:t>
      </w:r>
      <w:r>
        <w:t xml:space="preserve"> your data; obtain </w:t>
      </w:r>
      <w:r>
        <w:rPr>
          <w:b/>
          <w:bCs/>
        </w:rPr>
        <w:t xml:space="preserve">rectification</w:t>
      </w:r>
      <w:r>
        <w:t xml:space="preserve"> or </w:t>
      </w:r>
      <w:r>
        <w:rPr>
          <w:b/>
          <w:bCs/>
        </w:rPr>
        <w:t xml:space="preserve">erasure</w:t>
      </w:r>
      <w:r>
        <w:t xml:space="preserve"> ("right to be forgotten"); </w:t>
      </w:r>
      <w:r>
        <w:rPr>
          <w:b/>
          <w:bCs/>
        </w:rPr>
        <w:t xml:space="preserve">restrict</w:t>
      </w:r>
      <w:r>
        <w:t xml:space="preserve"> processing; </w:t>
      </w:r>
      <w:r>
        <w:rPr>
          <w:b/>
          <w:bCs/>
        </w:rPr>
        <w:t xml:space="preserve">object</w:t>
      </w:r>
      <w:r>
        <w:t xml:space="preserve"> to processing based on legitimate interest; receive your data in </w:t>
      </w:r>
      <w:r>
        <w:rPr>
          <w:b/>
          <w:bCs/>
        </w:rPr>
        <w:t xml:space="preserve">portable format</w:t>
      </w:r>
      <w:r>
        <w:t xml:space="preserve">; </w:t>
      </w:r>
      <w:r>
        <w:rPr>
          <w:b/>
          <w:bCs/>
        </w:rPr>
        <w:t xml:space="preserve">withdraw consent</w:t>
      </w:r>
      <w:r>
        <w:t xml:space="preserve"> any time without affecting prior processing. To exercise your rights, write to </w:t>
      </w:r>
      <w:r>
        <w:rPr>
          <w:b/>
          <w:bCs/>
        </w:rPr>
        <w:t xml:space="preserve">[PRIVACY CONTACT EMAIL]</w:t>
      </w:r>
      <w:r>
        <w:t xml:space="preserve"> or use the self-service tools in account settings (export and deletion). We reply within </w:t>
      </w:r>
      <w:r>
        <w:rPr>
          <w:b/>
          <w:bCs/>
        </w:rPr>
        <w:t xml:space="preserve">one month</w:t>
      </w:r>
      <w:r>
        <w:t xml:space="preserve"> (extendable by two months in complex cases).</w:t>
      </w:r>
    </w:p>
    <w:p>
      <w:pPr>
        <w:spacing w:after="140" w:line="300"/>
        <w:jc w:val="both"/>
      </w:pPr>
      <w:r>
        <w:t xml:space="preserve">You also have the right to lodge a </w:t>
      </w:r>
      <w:r>
        <w:rPr>
          <w:b/>
          <w:bCs/>
        </w:rPr>
        <w:t xml:space="preserve">complaint</w:t>
      </w:r>
      <w:r>
        <w:t xml:space="preserve"> with the Italian supervisory authority, the </w:t>
      </w:r>
      <w:r>
        <w:rPr>
          <w:b/>
          <w:bCs/>
        </w:rPr>
        <w:t xml:space="preserve">Garante per la protezione dei dati personali</w:t>
      </w:r>
      <w:r>
        <w:t xml:space="preserve"> (www.garanteprivacy.it), or with the supervisory authority of your place of residence.</w:t>
      </w:r>
    </w:p>
    <w:p>
      <w:pPr>
        <w:pStyle w:val="Heading1"/>
        <w:spacing w:after="120" w:before="300"/>
      </w:pPr>
      <w:r>
        <w:t xml:space="preserve">8. Minors</w:t>
      </w:r>
    </w:p>
    <w:p>
      <w:pPr>
        <w:spacing w:after="140" w:line="300"/>
        <w:jc w:val="both"/>
      </w:pPr>
      <w:r>
        <w:t xml:space="preserve">The Service is intended for users aged </w:t>
      </w:r>
      <w:r>
        <w:rPr>
          <w:b/>
          <w:bCs/>
        </w:rPr>
        <w:t xml:space="preserve">14 or over</w:t>
      </w:r>
      <w:r>
        <w:t xml:space="preserve">. In Italy, users aged 14 or over may validly consent to the processing of their personal data in relation to information society services (Art. 2-quinquies, Legislative Decree 196/2003). For users under 18, consent to processing of health/fitness data and contractual acceptance require the </w:t>
      </w:r>
      <w:r>
        <w:rPr>
          <w:b/>
          <w:bCs/>
        </w:rPr>
        <w:t xml:space="preserve">parental consent form</w:t>
      </w:r>
      <w:r>
        <w:t xml:space="preserve"> signed by a parent or guardian. If we become aware of data collected from a child under 14 without valid parental consent, we will delete it without undue delay.</w:t>
      </w:r>
    </w:p>
    <w:p>
      <w:pPr>
        <w:pStyle w:val="Heading1"/>
        <w:spacing w:after="120" w:before="300"/>
      </w:pPr>
      <w:r>
        <w:t xml:space="preserve">9. Security</w:t>
      </w:r>
    </w:p>
    <w:p>
      <w:pPr>
        <w:spacing w:after="140" w:line="300"/>
        <w:jc w:val="both"/>
      </w:pPr>
      <w:r>
        <w:t xml:space="preserve">We apply appropriate technical and organisational measures for the risk (Art. 32 GDPR): encryption in transit (TLS) and at rest for sensitive data, password hashing (resistant algorithms), role-based access controls (RBAC), multi-factor authentication for internal systems, encrypted backups with recovery tests, environment segregation, logging and monitoring, vulnerability management, staff training, data protection impact assessments (DPIA). No system is completely secure; </w:t>
      </w:r>
      <w:r>
        <w:rPr>
          <w:b/>
          <w:bCs/>
        </w:rPr>
        <w:t xml:space="preserve">in the event of a personal data breach</w:t>
      </w:r>
      <w:r>
        <w:t xml:space="preserve"> we will act in accordance with Arts. 33–34 GDPR (notification to the Garante within 72 hours and, where necessary, communication to data subjects).</w:t>
      </w:r>
    </w:p>
    <w:p>
      <w:pPr>
        <w:pStyle w:val="Heading1"/>
        <w:spacing w:after="120" w:before="300"/>
      </w:pPr>
      <w:r>
        <w:t xml:space="preserve">10. Changes</w:t>
      </w:r>
    </w:p>
    <w:p>
      <w:pPr>
        <w:spacing w:after="140" w:line="300"/>
        <w:jc w:val="both"/>
      </w:pPr>
      <w:r>
        <w:t xml:space="preserve">We may update this Policy; material changes will be notified via the Service or by email at least 15 days in advance. The date at the top indicates the latest version. Version history is available on request.</w:t>
      </w:r>
    </w:p>
    <w:p>
      <w:pPr>
        <w:pStyle w:val="Heading1"/>
        <w:spacing w:after="120" w:before="300"/>
      </w:pPr>
      <w:r>
        <w:t xml:space="preserve">11. Contact</w:t>
      </w:r>
    </w:p>
    <w:p>
      <w:pPr>
        <w:spacing w:after="140" w:line="300"/>
        <w:jc w:val="both"/>
      </w:pPr>
      <w:r>
        <w:t xml:space="preserve">Controller: </w:t>
      </w:r>
      <w:r>
        <w:rPr>
          <w:b/>
          <w:bCs/>
        </w:rPr>
        <w:t xml:space="preserve">[COMPANY NAME / OWNER NAME]</w:t>
      </w:r>
      <w:r>
        <w:t xml:space="preserve"> — </w:t>
      </w:r>
      <w:r>
        <w:rPr>
          <w:b/>
          <w:bCs/>
        </w:rPr>
        <w:t xml:space="preserve">[REGISTERED ADDRESS]</w:t>
      </w:r>
      <w:r>
        <w:t xml:space="preserve"> — </w:t>
      </w:r>
      <w:r>
        <w:rPr>
          <w:b/>
          <w:bCs/>
        </w:rPr>
        <w:t xml:space="preserve">[PRIVACY CONTACT EMAIL]</w:t>
      </w:r>
      <w:r>
        <w:t xml:space="preserve">. DPO: </w:t>
      </w:r>
      <w:r>
        <w:rPr>
          <w:b/>
          <w:bCs/>
        </w:rPr>
        <w:t xml:space="preserve">[DPO EMAIL if appointed]</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2026-07-21T14:36:40.083Z</dcterms:created>
  <dcterms:modified xsi:type="dcterms:W3CDTF">2026-07-21T14:36:40.083Z</dcterms:modified>
</cp:coreProperties>
</file>

<file path=docProps/custom.xml><?xml version="1.0" encoding="utf-8"?>
<Properties xmlns="http://schemas.openxmlformats.org/officeDocument/2006/custom-properties" xmlns:vt="http://schemas.openxmlformats.org/officeDocument/2006/docPropsVTypes"/>
</file>