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5A6B8C"/>
          <w:sz w:val="22"/>
          <w:szCs w:val="22"/>
        </w:rPr>
        <w:t xml:space="preserve">TrainMind AI</w:t>
      </w:r>
    </w:p>
    <w:p>
      <w:pPr>
        <w:pStyle w:val="Title"/>
        <w:spacing w:after="100"/>
      </w:pPr>
      <w:r>
        <w:rPr>
          <w:b/>
          <w:bCs/>
        </w:rPr>
        <w:t xml:space="preserve">Registro delle attività di trattamento (art. 30 GDPR)</w:t>
      </w:r>
    </w:p>
    <w:p>
      <w:pPr>
        <w:spacing w:after="60"/>
      </w:pPr>
      <w:r>
        <w:rPr>
          <w:i/>
          <w:iCs/>
          <w:color w:val="666666"/>
          <w:sz w:val="20"/>
          <w:szCs w:val="20"/>
        </w:rPr>
        <w:t xml:space="preserve">Ultimo aggiornamento: 21 luglio 2026 · Versione 1.0</w:t>
      </w:r>
    </w:p>
    <w:p>
      <w:pPr>
        <w:pBdr>
          <w:bottom w:val="single" w:color="2E3A59" w:sz="6"/>
        </w:pBdr>
        <w:spacing w:after="260"/>
      </w:pPr>
    </w:p>
    <w:p>
      <w:pPr>
        <w:spacing w:after="140" w:line="300"/>
        <w:jc w:val="both"/>
      </w:pPr>
      <w:r>
        <w:t xml:space="preserve">Registro tenuto da </w:t>
      </w:r>
      <w:r>
        <w:rPr>
          <w:b/>
          <w:bCs/>
        </w:rPr>
        <w:t xml:space="preserve">[RAGIONE SOCIALE / NOME TITOLARE]</w:t>
      </w:r>
      <w:r>
        <w:t xml:space="preserve"> in qualità di </w:t>
      </w:r>
      <w:r>
        <w:rPr>
          <w:b/>
          <w:bCs/>
        </w:rPr>
        <w:t xml:space="preserve">Titolare del trattamento</w:t>
      </w:r>
      <w:r>
        <w:t xml:space="preserve">, ai sensi dell'art. 30, par. 1, del Regolamento (UE) 2016/679 ("GDPR"). Il registro è aggiornato al 21 luglio 2026 · Versione 1.0 e viene riesaminato almeno annualmente e in occasione di modifiche sostanziali.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Titolare</w:t>
      </w:r>
      <w:r>
        <w:t xml:space="preserve">: </w:t>
      </w:r>
      <w:r>
        <w:rPr>
          <w:b/>
          <w:bCs/>
        </w:rPr>
        <w:t xml:space="preserve">[RAGIONE SOCIALE / NOME TITOLARE]</w:t>
      </w:r>
      <w:r>
        <w:t xml:space="preserve"> — sede: </w:t>
      </w:r>
      <w:r>
        <w:rPr>
          <w:b/>
          <w:bCs/>
        </w:rPr>
        <w:t xml:space="preserve">[SEDE LEGALE]</w:t>
      </w:r>
      <w:r>
        <w:t xml:space="preserve"> — contatto: </w:t>
      </w:r>
      <w:r>
        <w:rPr>
          <w:b/>
          <w:bCs/>
        </w:rPr>
        <w:t xml:space="preserve">[EMAIL DI CONTATTO]</w:t>
      </w:r>
      <w:r>
        <w:t xml:space="preserve"> — privacy: </w:t>
      </w:r>
      <w:r>
        <w:rPr>
          <w:b/>
          <w:bCs/>
        </w:rPr>
        <w:t xml:space="preserve">[EMAIL PRIVACY]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DPO: </w:t>
      </w:r>
      <w:r>
        <w:rPr>
          <w:b/>
          <w:bCs/>
        </w:rPr>
        <w:t xml:space="preserve">[nominativo e recapiti se designato — v. documento "Valutazione obbligo DPO"]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Rappresentante nell'UE: N/A (titolare stabilito in UE)</w:t>
      </w:r>
    </w:p>
    <w:p>
      <w:pPr>
        <w:pStyle w:val="Heading1"/>
        <w:spacing w:after="120" w:before="300"/>
      </w:pPr>
      <w:r>
        <w:t xml:space="preserve">T1 · Gestione account utenti e prestazione del Servizio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00"/>
      </w:tblGrid>
      <w:tr>
        <w:trPr>
          <w:tblHeader/>
        </w:trPr>
        <w:tc>
          <w:tcPr>
            <w:tcW w:type="dxa" w:w="33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0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Descrizione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Creazione e gestione dell'account utente; autenticazione; erogazione della piattaforma TrainMind AI (pianificazione, monitoraggio, sincronizzazione dispositivi).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interessati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Utenti registrati (atleti, allenatori, staff società); rappresentanti legali di minori.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Dati identificativi (nome, cognome), email, hash password, data di nascita, ruolo, sport, lingua, informazioni di profilo, log di accesso, IP, user-agent.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6(1)(b) GDPR — esecuzione del contratto.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destinatari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Provider hosting (Hetzner Cloud); provider email transazionale; personale interno autorizzato.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Trasferimenti extra-SEE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Nessuno sistematico. Eventuali servizi US via DPF/SCC.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Durata dell'account; cancellazione o anonimizzazione entro 30 giorni dalla chiusura; log di sicurezza fino a 12 mesi; backup fino a 90 giorni.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Misure di sicurezza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TLS 1.2+, hashing password (bcrypt/Argon2), RBAC, MFA per il personale, logging, backup cifrati, segregazione ambienti.</w:t>
            </w:r>
          </w:p>
        </w:tc>
      </w:tr>
    </w:tbl>
    <w:p>
      <w:pPr>
        <w:spacing w:after="140"/>
      </w:pPr>
    </w:p>
    <w:p>
      <w:pPr>
        <w:pStyle w:val="Heading1"/>
        <w:spacing w:after="120" w:before="300"/>
      </w:pPr>
      <w:r>
        <w:t xml:space="preserve">T2 · Dati sanitari e di fitness (art. 9 GDPR)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00"/>
      </w:tblGrid>
      <w:tr>
        <w:trPr>
          <w:tblHeader/>
        </w:trPr>
        <w:tc>
          <w:tcPr>
            <w:tcW w:type="dxa" w:w="33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0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Descrizione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Registrazione allenamenti, prestazioni, parametri corporei; generazione di piani e analisi mediante IA; monitoraggio wellness e infortuni.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interessati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Atleti utilizzatori del Servizio (maggiorenni e minorenni 14+ con consenso genitoriale).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Dati salute e fitness (categorie particolari): allenamenti, RPE, HR, peso, sonno, mood, infortuni, note antropometriche.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9(2)(a) GDPR — consenso esplicito. Consenso separato registrato in ConsentRecord con versione, lingua e IP.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destinatari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Provider hosting, provider di modelli IA (come responsabili ex art. 28), allenatore/staff scelto dall'atleta.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Trasferimenti extra-SEE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Provider IA: DPF/SCC + minimizzazione o pseudonimizzazione ove necessario.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Fino alla revoca del consenso o cancellazione account; poi cancellazione o anonimizzazione irreversibile.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Misure di sicurezza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Cifratura a riposo per dati sensibili; controlli di accesso più restrittivi; DPIA condotta (v. documento separato); logging degli accessi.</w:t>
            </w:r>
          </w:p>
        </w:tc>
      </w:tr>
    </w:tbl>
    <w:p>
      <w:pPr>
        <w:spacing w:after="140"/>
      </w:pPr>
    </w:p>
    <w:p>
      <w:pPr>
        <w:pStyle w:val="Heading1"/>
        <w:spacing w:after="120" w:before="300"/>
      </w:pPr>
      <w:r>
        <w:t xml:space="preserve">T3 · Elaborazione IA (prompt e output)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00"/>
      </w:tblGrid>
      <w:tr>
        <w:trPr>
          <w:tblHeader/>
        </w:trPr>
        <w:tc>
          <w:tcPr>
            <w:tcW w:type="dxa" w:w="33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0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Descrizione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Generazione di suggerimenti di allenamento e analisi tramite modelli di IA; sicurezza e miglioramento del Servizio.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interessati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Utenti registrati.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Prompt inviati all'IA (possono contenere dati identificativi e di salute), output, metadati tecnici, ID account.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6(1)(b) contratto per la funzionalità; Art. 9(2)(a) consenso esplicito ove trattati dati di salute.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destinatari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Provider IA come responsabili ex art. 28 GDPR (</w:t>
            </w:r>
            <w:r>
              <w:rPr>
                <w:b/>
                <w:bCs/>
                <w:sz w:val="19"/>
                <w:szCs w:val="19"/>
              </w:rPr>
              <w:t xml:space="preserve">[FORNITORE IA]</w:t>
            </w:r>
            <w:r>
              <w:rPr>
                <w:b w:val="false"/>
                <w:bCs w:val="false"/>
                <w:sz w:val="19"/>
                <w:szCs w:val="19"/>
              </w:rPr>
              <w:t xml:space="preserve">). Divieto contrattuale di uso per training del modello del terzo.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Trasferimenti extra-SEE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Eventuali provider US: DPF (se certificato) o SCC con TIA.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Durata account; comunque max 24 mesi per prompt/output nei nostri sistemi; presso il provider secondo il contratto (di norma ≤ 30 giorni).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Misure di sicurezza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Pseudonimizzazione prima dell'invio ove necessario; canali cifrati; log audit; supervisione umana degli output.</w:t>
            </w:r>
          </w:p>
        </w:tc>
      </w:tr>
    </w:tbl>
    <w:p>
      <w:pPr>
        <w:spacing w:after="140"/>
      </w:pPr>
    </w:p>
    <w:p>
      <w:pPr>
        <w:pStyle w:val="Heading1"/>
        <w:spacing w:after="120" w:before="300"/>
      </w:pPr>
      <w:r>
        <w:t xml:space="preserve">T4 · Fatturazione e pagamenti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00"/>
      </w:tblGrid>
      <w:tr>
        <w:trPr>
          <w:tblHeader/>
        </w:trPr>
        <w:tc>
          <w:tcPr>
            <w:tcW w:type="dxa" w:w="33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0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Descrizione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Gestione abbonamenti, incassi, fatturazione elettronica.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interessati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Utenti paganti (persone fisiche o rappresentanti di persone giuridiche).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Piano, storico transazioni, ultimi 4 cifre carta, indirizzo di fatturazione, P.IVA/CF.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6(1)(b) contratto; Art. 6(1)(c) obblighi fiscali (D.P.R. 633/1972, D.lgs. 127/2015 e s.m.i.).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destinatari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Stripe (responsabile); consulente contabile; SdI/Agenzia delle Entrate.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Trasferimenti extra-SEE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Stripe: DPF/SCC.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10 anni (art. 2220 c.c. e obblighi fiscali).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Misure di sicurezza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Nessuna memorizzazione di PAN completo; tokenizzazione tramite Stripe; accessi limitati al personale amministrativo.</w:t>
            </w:r>
          </w:p>
        </w:tc>
      </w:tr>
    </w:tbl>
    <w:p>
      <w:pPr>
        <w:spacing w:after="140"/>
      </w:pPr>
    </w:p>
    <w:p>
      <w:pPr>
        <w:pStyle w:val="Heading1"/>
        <w:spacing w:after="120" w:before="300"/>
      </w:pPr>
      <w:r>
        <w:t xml:space="preserve">T5 · Comunicazioni di marketing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00"/>
      </w:tblGrid>
      <w:tr>
        <w:trPr>
          <w:tblHeader/>
        </w:trPr>
        <w:tc>
          <w:tcPr>
            <w:tcW w:type="dxa" w:w="33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0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Descrizione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Newsletter, aggiornamenti prodotto, offerte promozionali, sondaggi.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interessati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Utenti che hanno prestato consenso specifico.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Nome, email, preferenze, tracciamento apertura/click.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6(1)(a) — consenso.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destinatari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Provider email marketing come responsabile.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Fino a revoca del consenso o inattività 24 mesi.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Misure di sicurezza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Link di disiscrizione in ogni email; centro preferenze; log consenso e revoca.</w:t>
            </w:r>
          </w:p>
        </w:tc>
      </w:tr>
    </w:tbl>
    <w:p>
      <w:pPr>
        <w:spacing w:after="140"/>
      </w:pPr>
    </w:p>
    <w:p>
      <w:pPr>
        <w:pStyle w:val="Heading1"/>
        <w:spacing w:after="120" w:before="300"/>
      </w:pPr>
      <w:r>
        <w:t xml:space="preserve">T6 · Sicurezza e log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00"/>
      </w:tblGrid>
      <w:tr>
        <w:trPr>
          <w:tblHeader/>
        </w:trPr>
        <w:tc>
          <w:tcPr>
            <w:tcW w:type="dxa" w:w="33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0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Descrizione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Prevenzione frodi/abusi; monitoraggio sicurezza; resilienza; difesa in giudizio.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interessati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Utenti; visitatori del sito.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IP, user-agent, timestamp, eventi di sicurezza, tentativi di login falliti.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6(1)(f) — legittimo interesse alla sicurezza e continuità del Servizio (LIA effettuata).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Max 12 mesi (rotazione).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Misure di sicurezza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Accesso limitato al personale sicurezza; log immutabili; alerting automatizzato.</w:t>
            </w:r>
          </w:p>
        </w:tc>
      </w:tr>
    </w:tbl>
    <w:p>
      <w:pPr>
        <w:spacing w:after="140"/>
      </w:pPr>
    </w:p>
    <w:p>
      <w:pPr>
        <w:pStyle w:val="Heading1"/>
        <w:spacing w:after="120" w:before="300"/>
      </w:pPr>
      <w:r>
        <w:t xml:space="preserve">T7 · Richieste degli interessati e adempimenti privacy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00"/>
      </w:tblGrid>
      <w:tr>
        <w:trPr>
          <w:tblHeader/>
        </w:trPr>
        <w:tc>
          <w:tcPr>
            <w:tcW w:type="dxa" w:w="33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0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Descrizione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Gestione delle richieste di esercizio dei diritti (artt. 15–22 GDPR); notifiche di data breach; adempimenti verso il Garante.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Dati necessari all'identificazione dell'interessato e al riscontro della richiesta.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6(1)(c) obbligo legale; Art. 9(2)(f) esercizio/difesa di diritti in sede giudiziaria ove pertinente.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Fascicolo pratica per 5 anni salvo contenzioso.</w:t>
            </w:r>
          </w:p>
        </w:tc>
      </w:tr>
    </w:tbl>
    <w:p>
      <w:pPr>
        <w:spacing w:after="140"/>
      </w:pPr>
    </w:p>
    <w:p>
      <w:pPr>
        <w:pStyle w:val="Heading1"/>
        <w:spacing w:after="120" w:before="300"/>
      </w:pPr>
      <w:r>
        <w:t xml:space="preserve">Revisioni</w:t>
      </w:r>
    </w:p>
    <w:p>
      <w:pPr>
        <w:spacing w:after="140" w:line="300"/>
        <w:jc w:val="both"/>
      </w:pPr>
      <w:r>
        <w:t xml:space="preserve">Il presente Registro è approvato dal Titolare in data </w:t>
      </w:r>
      <w:r>
        <w:rPr>
          <w:b/>
          <w:bCs/>
        </w:rPr>
        <w:t xml:space="preserve">[DATA]</w:t>
      </w:r>
      <w:r>
        <w:t xml:space="preserve">. Prossima revisione programmata: entro 12 mesi. Le modifiche sono tracciate nel changelog interno.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1F2A44"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2E3A59"/>
      <w:sz w:val="26"/>
      <w:szCs w:val="26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3D4E73"/>
      <w:sz w:val="23"/>
      <w:szCs w:val="23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2026-07-22T13:13:43.469Z</dcterms:created>
  <dcterms:modified xsi:type="dcterms:W3CDTF">2026-07-22T13:13:43.490Z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