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A6B8C"/>
          <w:sz w:val="22"/>
          <w:szCs w:val="22"/>
        </w:rPr>
        <w:t xml:space="preserve">TrainMind AI</w:t>
      </w:r>
    </w:p>
    <w:p>
      <w:pPr>
        <w:pStyle w:val="Title"/>
        <w:spacing w:after="100"/>
      </w:pPr>
      <w:r>
        <w:rPr>
          <w:b/>
          <w:bCs/>
        </w:rPr>
        <w:t xml:space="preserve">TODO — Attività legali e operative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Ultimo aggiornamento: 21 luglio 2026 · Versione 1.0</w:t>
      </w:r>
    </w:p>
    <w:p>
      <w:pPr>
        <w:pBdr>
          <w:bottom w:val="single" w:color="2E3A59" w:sz="6"/>
        </w:pBdr>
        <w:spacing w:after="260"/>
      </w:pPr>
    </w:p>
    <w:p>
      <w:pPr>
        <w:spacing w:after="140" w:line="300"/>
        <w:jc w:val="both"/>
      </w:pPr>
      <w:r>
        <w:t xml:space="preserve">Documento di lavoro con le attività legali e operative residue per TrainMind AI. Aggiornare le date e le caselle man mano che si completano gli step. Le priorità sono suggerite: </w:t>
      </w:r>
      <w:r>
        <w:rPr>
          <w:b/>
          <w:bCs/>
        </w:rPr>
        <w:t xml:space="preserve">P0 = bloccante prima del lancio pubblico</w:t>
      </w:r>
      <w:r>
        <w:t xml:space="preserve">, </w:t>
      </w:r>
      <w:r>
        <w:rPr>
          <w:b/>
          <w:bCs/>
        </w:rPr>
        <w:t xml:space="preserve">P1 = entro 30–60 giorni</w:t>
      </w:r>
      <w:r>
        <w:t xml:space="preserve">, </w:t>
      </w:r>
      <w:r>
        <w:rPr>
          <w:b/>
          <w:bCs/>
        </w:rPr>
        <w:t xml:space="preserve">P2 = entro 6 mesi</w:t>
      </w:r>
      <w:r>
        <w:t xml:space="preserve">.</w:t>
      </w:r>
    </w:p>
    <w:p>
      <w:pPr>
        <w:pStyle w:val="Heading1"/>
        <w:spacing w:after="120" w:before="300"/>
      </w:pPr>
      <w:r>
        <w:t xml:space="preserve">A · Fatto in questa sessione (riepilogo)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✅ Documenti core (ToS, Privacy, Cookie) v2.0 in IT/EN/ES con TL;DR, AI Act, DSA, DPF/SCC, SLA, forza maggiore, cap responsabilità.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✅ Documenti accessori IT: DPA per coach/società, AUP, Impressum, Consenso genitoriale minori.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✅ Registro trattamenti art. 30 GDPR (pre-compilato).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✅ DPIA salute + profilazione + minori (pre-compilata).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✅ Valutazione obbligo DPO (motivata).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✅ Piano AI literacy per il team.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✅ Guida assicurazione RC / Tech E&amp;O.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✅ Codice: schema DB `ConsentRecord` esteso (userAgent, language, metadata, revokedAt); migrazione SQL creata.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✅ Codice: `LEGAL_VERSIONS` aggiornate a v2.0.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✅ Codice: schema Zod signup con `dateOfBirth` (gate 14+), `acceptPrivacy`, `consentHealthData`, `acceptMarketing`, `uiLanguage`.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✅ Codice: route `POST /auth/register` registra 3–5 `ConsentRecord` con IP, User-Agent, lingua e metadata.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✅ Codice: form di registrazione web con checkbox distinte, nessuna pre-flaggata, obbligatorietà differenziata.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✅ Codice: `CookieBanner` conforme Linee guida Garante 2021 (3 azioni equivalenti, "X" = rifiuta, riproposizione max 6 mesi).</w:t>
      </w:r>
    </w:p>
    <w:p>
      <w:pPr>
        <w:pStyle w:val="Heading1"/>
        <w:spacing w:after="120" w:before="300"/>
      </w:pPr>
      <w:r>
        <w:t xml:space="preserve">B · Da fare — Azioni tue (non delegabili)</w:t>
      </w:r>
    </w:p>
    <w:p>
      <w:pPr>
        <w:pStyle w:val="Heading2"/>
        <w:spacing w:after="100" w:before="220"/>
      </w:pPr>
      <w:r>
        <w:t xml:space="preserve">B.1 · Compilazione placeholder documenti [P0]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Sostituire nei .docx tutti i placeholder in grassetto: [RAGIONE SOCIALE], [SEDE LEGALE], [P.IVA/C.F.], [N. REA/CCIAA], [EMAIL], [PEC], [FORO COMPETENTE], [FORNITORE HOSTING], [FORNITORE/I IA], [CAPITALE SOCIALE], date di approvazione.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Se non hai ancora costituito la società, usa i dati della ditta individuale o rinvia la pubblicazione finché non hai l'entità.</w:t>
      </w:r>
    </w:p>
    <w:p>
      <w:pPr>
        <w:pStyle w:val="Heading2"/>
        <w:spacing w:after="100" w:before="220"/>
      </w:pPr>
      <w:r>
        <w:t xml:space="preserve">B.2 · Revisione legale [P0]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Far revisionare i documenti a un legale specializzato in tech/data protection prima della pubblicazione.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Valutare se aggiungere clausole compromissorie/arbitrali per B2B con società sportive di grandi dimensioni.</w:t>
      </w:r>
    </w:p>
    <w:p>
      <w:pPr>
        <w:pStyle w:val="Heading2"/>
        <w:spacing w:after="100" w:before="220"/>
      </w:pPr>
      <w:r>
        <w:t xml:space="preserve">B.3 · Firma DPA con fornitori [P0]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</w:t>
      </w:r>
      <w:r>
        <w:rPr>
          <w:b/>
          <w:bCs/>
        </w:rPr>
        <w:t xml:space="preserve">Stripe</w:t>
      </w:r>
      <w:r>
        <w:t xml:space="preserve">: DPA disponibile in dashboard (Compliance → Data Processing Addendum). Accettare e archiviare.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</w:t>
      </w:r>
      <w:r>
        <w:rPr>
          <w:b/>
          <w:bCs/>
        </w:rPr>
        <w:t xml:space="preserve">OpenAI</w:t>
      </w:r>
      <w:r>
        <w:t xml:space="preserve"> (se usato): DPA + Business Terms su platform.openai.com/organization/compliance. Verificare che i dati NON siano usati per training.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</w:t>
      </w:r>
      <w:r>
        <w:rPr>
          <w:b/>
          <w:bCs/>
        </w:rPr>
        <w:t xml:space="preserve">Anthropic</w:t>
      </w:r>
      <w:r>
        <w:t xml:space="preserve"> (se usato): DPA su console.anthropic.com/settings/compliance.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</w:t>
      </w:r>
      <w:r>
        <w:rPr>
          <w:b/>
          <w:bCs/>
        </w:rPr>
        <w:t xml:space="preserve">Hetzner</w:t>
      </w:r>
      <w:r>
        <w:t xml:space="preserve"> (hosting): AV-Verträge disponibili su console; scaricare, firmare, archiviare.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Provider email transazionale (Resend/Postmark/SendGrid): DPA relativo.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Provider analytics (Google Analytics 4 se attivato): DPA Google + configurazione con IP anonymisation e disattivazione data sharing.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Archiviare tutti i DPA in `/legal/dpa-firmati/` con data di firma.</w:t>
      </w:r>
    </w:p>
    <w:p>
      <w:pPr>
        <w:pStyle w:val="Heading2"/>
        <w:spacing w:after="100" w:before="220"/>
      </w:pPr>
      <w:r>
        <w:t xml:space="preserve">B.4 · Costituzione entità legale [SALTATO su tua richiesta]</w:t>
      </w:r>
    </w:p>
    <w:p>
      <w:pPr>
        <w:spacing w:after="140" w:line="300"/>
        <w:jc w:val="both"/>
      </w:pPr>
      <w:r>
        <w:t xml:space="preserve">NB: fino a quando operi come persona fisica, sei personalmente responsabile con tutto il patrimonio. Consigliato SRLS/SRL prima di iniziare a fatturare significativamente.</w:t>
      </w:r>
    </w:p>
    <w:p>
      <w:pPr>
        <w:pStyle w:val="Heading2"/>
        <w:spacing w:after="100" w:before="220"/>
      </w:pPr>
      <w:r>
        <w:t xml:space="preserve">B.5 · Assicurazione RC / Tech E&amp;O [P1]</w:t>
      </w:r>
    </w:p>
    <w:p>
      <w:pPr>
        <w:spacing w:after="140" w:line="300"/>
        <w:jc w:val="both"/>
      </w:pPr>
      <w:r>
        <w:t xml:space="preserve">Vedi documento </w:t>
      </w:r>
      <w:r>
        <w:rPr>
          <w:b/>
          <w:bCs/>
        </w:rPr>
        <w:t xml:space="preserve">Guida_Assicurazione_RC_Tech_E_O_IT.docx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Preparare risk profile (2 pagine).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Richiedere quotazioni a 2–3 broker (Marsh/Aon/Assiteca oppure Corgi/Chubb/Beazley).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Sottoscrivere pacchetto Tech E&amp;O + Cyber (massimale minimo € 1M/1M).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Comunicare la copertura ai clienti B2B che la richiedono.</w:t>
      </w:r>
    </w:p>
    <w:p>
      <w:pPr>
        <w:pStyle w:val="Heading2"/>
        <w:spacing w:after="100" w:before="220"/>
      </w:pPr>
      <w:r>
        <w:t xml:space="preserve">B.6 · Registrazioni presso il Garante [P1]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Se decidi di designare il DPO: comunicare i dati di contatto al Garante tramite portale.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Approntare il template per notifica data breach (72h) — v. DPIA §5.</w:t>
      </w:r>
    </w:p>
    <w:p>
      <w:pPr>
        <w:pStyle w:val="Heading1"/>
        <w:spacing w:after="120" w:before="300"/>
      </w:pPr>
      <w:r>
        <w:t xml:space="preserve">C · Da fare — Codice residuo</w:t>
      </w:r>
    </w:p>
    <w:p>
      <w:pPr>
        <w:pStyle w:val="Heading2"/>
        <w:spacing w:after="100" w:before="220"/>
      </w:pPr>
      <w:r>
        <w:t xml:space="preserve">C.1 · Applicare la migrazione DB [P0]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In dev: `pnpm --filter @trainmind/db exec prisma migrate dev`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Verificare che `20260721120000_consent_record_audit_fields` si applichi correttamente su un DB con dati esistenti.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In produzione: `prisma migrate deploy` durante finestra di manutenzione (backup preventivo).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Rigenerare Prisma client (`prisma generate`) prima del deploy dell'API.</w:t>
      </w:r>
    </w:p>
    <w:p>
      <w:pPr>
        <w:pStyle w:val="Heading2"/>
        <w:spacing w:after="100" w:before="220"/>
      </w:pPr>
      <w:r>
        <w:t xml:space="preserve">C.2 · Test signup end-to-end [P0]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Verificare che con `dateOfBirth &lt; 14 anni` il register restituisca errore chiaro.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Verificare che 5 `ConsentRecord` siano creati con campi corretti quando si opta per HEALTH_DATA + MARKETING.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Verificare che 4 record siano creati senza MARKETING quando la checkbox è deselezionata.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Aggiungere test unitari sul superRefine dell'età.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Aggiornare l'app mobile (`trainmind-mobile`) per gli stessi campi signup (se ha form di registrazione autonomo).</w:t>
      </w:r>
    </w:p>
    <w:p>
      <w:pPr>
        <w:pStyle w:val="Heading2"/>
        <w:spacing w:after="100" w:before="220"/>
      </w:pPr>
      <w:r>
        <w:t xml:space="preserve">C.3 · Pagine legali /terms, /privacy, /cookies [P0]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Convertire i .docx in pagine web (Markdown → MDX + layout comune).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Mostrare la versione corrente in fondo alla pagina (`LEGAL_VERSIONS`).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Selettore lingua sulla pagina che rispetta `useLocaleStore`.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Link a "Preferenze cookie" che chiama `openCookiePreferences()` dal footer.</w:t>
      </w:r>
    </w:p>
    <w:p>
      <w:pPr>
        <w:pStyle w:val="Heading2"/>
        <w:spacing w:after="100" w:before="220"/>
      </w:pPr>
      <w:r>
        <w:t xml:space="preserve">C.4 · Endpoint per esercizio diritti GDPR [P1]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`GET /me/export` → esporta JSON con tutti i dati dell'utente (portabilità art. 20 GDPR).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`POST /me/delete` → richiesta cancellazione account (soft-delete + purge job asincrono a 30 giorni).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`POST /me/consents/revoke` → revoca consenso specifico (marketing / HEALTH_DATA); imposta `revokedAt` sul record.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UI in `/dashboard/settings/privacy` con pulsanti per queste azioni.</w:t>
      </w:r>
    </w:p>
    <w:p>
      <w:pPr>
        <w:pStyle w:val="Heading2"/>
        <w:spacing w:after="100" w:before="220"/>
      </w:pPr>
      <w:r>
        <w:t xml:space="preserve">C.5 · Trasparenza IA in-app [P0 entro 2 agosto 2026]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Banner "Stai interagendo con un assistente IA" nel chat (`/dashboard/chat`) — art. 50(1) AI Act.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Etichetta "Generato con IA" sui piani/analisi/adattamenti prodotti dai modelli — art. 50(2) AI Act.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Pulsante "Segnala output problematico" con canale di supporto.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Documentare la valutazione di non-alto-rischio (v. Termini §7 e DPIA).</w:t>
      </w:r>
    </w:p>
    <w:p>
      <w:pPr>
        <w:pStyle w:val="Heading2"/>
        <w:spacing w:after="100" w:before="220"/>
      </w:pPr>
      <w:r>
        <w:t xml:space="preserve">C.6 · Rilevamento lingua account [P2]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Colonna `preferredLanguage` su User (default `it`).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Al signup: leggere `navigator.language` come suggerimento se non c'è preferenza salvata.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Sync selettore lingua UI ↔ profilo utente.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Rendere disponibili anche le versioni EN/ES dei documenti accessori (DPA, AUP, Impressum, Consenso genitori).</w:t>
      </w:r>
    </w:p>
    <w:p>
      <w:pPr>
        <w:pStyle w:val="Heading1"/>
        <w:spacing w:after="120" w:before="300"/>
      </w:pPr>
      <w:r>
        <w:t xml:space="preserve">D · Da fare — Processi ricorrenti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</w:t>
      </w:r>
      <w:r>
        <w:rPr>
          <w:b/>
          <w:bCs/>
        </w:rPr>
        <w:t xml:space="preserve">Trimestrale</w:t>
      </w:r>
      <w:r>
        <w:t xml:space="preserve">: revisione delle soglie utenti per obbligo DPO; refresh lista sub-responsabili.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</w:t>
      </w:r>
      <w:r>
        <w:rPr>
          <w:b/>
          <w:bCs/>
        </w:rPr>
        <w:t xml:space="preserve">Annuale</w:t>
      </w:r>
      <w:r>
        <w:t xml:space="preserve">: revisione DPIA e Registro trattamenti; refresher AI literacy per tutto il team; audit dei DPA con provider.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</w:t>
      </w:r>
      <w:r>
        <w:rPr>
          <w:b/>
          <w:bCs/>
        </w:rPr>
        <w:t xml:space="preserve">Ad hoc</w:t>
      </w:r>
      <w:r>
        <w:t xml:space="preserve">: aggiornamento documenti al variare di normativa (es. entrata in vigore obblighi ad alto rischio ago 2028) o servizi.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</w:t>
      </w:r>
      <w:r>
        <w:rPr>
          <w:b/>
          <w:bCs/>
        </w:rPr>
        <w:t xml:space="preserve">Ad hoc</w:t>
      </w:r>
      <w:r>
        <w:t xml:space="preserve">: bump `CONSENT_VERSION` e `LEGAL_VERSIONS` in caso di modifiche sostanziali.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Simulare un data breach drill una volta l'anno (chi fa cosa nelle 72 ore).</w:t>
      </w:r>
    </w:p>
    <w:p>
      <w:pPr>
        <w:pStyle w:val="Heading1"/>
        <w:spacing w:after="120" w:before="300"/>
      </w:pPr>
      <w:r>
        <w:t xml:space="preserve">E · Riferimenti rapidi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Regolamento (UE) 2016/679 (GDPR)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D.lgs. 196/2003 e s.m.i. (Codice Privacy)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D.lgs. 70/2003 (commercio elettronico) — Impressum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D.lgs. 206/2005 (Codice del Consumo)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Regolamento (UE) 2024/1689 (AI Act) — art. 4, 5, 50; Allegato III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AI Digital Omnibus 2026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Regolamento (UE) 2022/2065 (Digital Services Act)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Regolamento (UE) 2017/745 (dispositivi medici) — esclusione TrainMind AI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Linee guida Garante 10/06/2021 (cookie)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Provvedimento Garante 11/10/2018 (elenco trattamenti soggetti a DPIA)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WP248 e WP243 (linee guida EDPB su DPIA e DPO)</w:t>
      </w:r>
    </w:p>
    <w:p>
      <w:pPr>
        <w:pStyle w:val="Heading1"/>
        <w:spacing w:after="120" w:before="300"/>
      </w:pPr>
      <w:r>
        <w:t xml:space="preserve">F · File nella cartella /legal</w:t>
      </w:r>
    </w:p>
    <w:p>
      <w:pPr>
        <w:spacing w:after="140" w:line="300"/>
        <w:jc w:val="both"/>
      </w:pPr>
      <w:r>
        <w:t xml:space="preserve">La cartella contiene 19 documenti: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Core (v2.0) — 9 file: Termini/Terms/Términos + Informativa/Privacy/Política + Cookie in IT/EN/ES.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Accessori IT — 4 file: DPA coach, AUP, Impressum, Consenso genitoriale.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Operativi IT — 5 file: Registro art. 30, DPIA, Valutazione DPO, Piano AI literacy, Guida RC Tech E&amp;O.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Questo TODO — 1 file.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F2A44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2E3A59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D4E73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2026-07-22T13:19:06.510Z</dcterms:created>
  <dcterms:modified xsi:type="dcterms:W3CDTF">2026-07-22T13:19:06.510Z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