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Valutazione dell'obbligo di designazione del DPO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Il presente documento valuta l'obbligo di designazione del Responsabile della Protezione dei Dati (DPO / Data Protection Officer) per </w:t>
      </w:r>
      <w:r>
        <w:rPr>
          <w:b/>
          <w:bCs/>
        </w:rPr>
        <w:t xml:space="preserve">[RAGIONE SOCIALE / NOME TITOLARE]</w:t>
      </w:r>
      <w:r>
        <w:t xml:space="preserve">, ai sensi dell'art. 37 GDPR e delle Linee guida WP243/EDPB.</w:t>
      </w:r>
    </w:p>
    <w:p>
      <w:pPr>
        <w:pStyle w:val="Heading1"/>
        <w:spacing w:after="120" w:before="300"/>
      </w:pPr>
      <w:r>
        <w:t xml:space="preserve">1. Criteri di obbligatorietà (art. 37 GDPR)</w:t>
      </w:r>
    </w:p>
    <w:p>
      <w:pPr>
        <w:spacing w:after="140" w:line="300"/>
        <w:jc w:val="both"/>
      </w:pPr>
      <w:r>
        <w:t xml:space="preserve">La designazione del DPO è obbligatoria quando ricorre almeno una delle seguenti condizioni: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(a) il trattamento è effettuato da un'autorità pubblica — </w:t>
      </w:r>
      <w:r>
        <w:rPr>
          <w:b/>
          <w:bCs/>
        </w:rPr>
        <w:t xml:space="preserve">NON APPLICABILE</w:t>
      </w:r>
      <w:r>
        <w:t xml:space="preserve"> al Titolare;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(b) le attività principali del Titolare consistono in </w:t>
      </w:r>
      <w:r>
        <w:rPr>
          <w:b/>
          <w:bCs/>
        </w:rPr>
        <w:t xml:space="preserve">operazioni che richiedono il monitoraggio regolare e sistematico degli interessati su larga scala</w:t>
      </w:r>
      <w:r>
        <w:t xml:space="preserve"> — potenzialmente applicabile (v. §2);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(c) le attività principali consistono nel </w:t>
      </w:r>
      <w:r>
        <w:rPr>
          <w:b/>
          <w:bCs/>
        </w:rPr>
        <w:t xml:space="preserve">trattamento su larga scala di categorie particolari di dati</w:t>
      </w:r>
      <w:r>
        <w:t xml:space="preserve"> (art. 9) o di dati giudiziari — potenzialmente applicabile (v. §3).</w:t>
      </w:r>
    </w:p>
    <w:p>
      <w:pPr>
        <w:pStyle w:val="Heading1"/>
        <w:spacing w:after="120" w:before="300"/>
      </w:pPr>
      <w:r>
        <w:t xml:space="preserve">2. Analisi lett. (b): monitoraggio regolare e sistematico su larga scala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Il Servizio esegue </w:t>
      </w:r>
      <w:r>
        <w:rPr>
          <w:b/>
          <w:bCs/>
        </w:rPr>
        <w:t xml:space="preserve">monitoraggio continuo</w:t>
      </w:r>
      <w:r>
        <w:t xml:space="preserve"> dei carichi di allenamento, wellness e prestazioni: caratteristica intrinseca del prodotto ("core business");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Il monitoraggio è </w:t>
      </w:r>
      <w:r>
        <w:rPr>
          <w:b/>
          <w:bCs/>
        </w:rPr>
        <w:t xml:space="preserve">regolare</w:t>
      </w:r>
      <w:r>
        <w:t xml:space="preserve"> (frequenza quotidiana o pluri-settimanale) e </w:t>
      </w:r>
      <w:r>
        <w:rPr>
          <w:b/>
          <w:bCs/>
        </w:rPr>
        <w:t xml:space="preserve">sistematico</w:t>
      </w:r>
      <w:r>
        <w:t xml:space="preserve"> (schemi predefiniti, non ad hoc);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Il carattere di "larga scala" dipende dal numero di utenti, dai volumi di dati e dalla portata geografica; con una base utenti crescente si supera facilmente la soglia indicativa.</w:t>
      </w:r>
    </w:p>
    <w:p>
      <w:pPr>
        <w:pStyle w:val="Heading1"/>
        <w:spacing w:after="120" w:before="300"/>
      </w:pPr>
      <w:r>
        <w:t xml:space="preserve">3. Analisi lett. (c): trattamento su larga scala di dati particolari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 dati salute e fitness (art. 9 GDPR) sono elemento </w:t>
      </w:r>
      <w:r>
        <w:rPr>
          <w:b/>
          <w:bCs/>
        </w:rPr>
        <w:t xml:space="preserve">centrale</w:t>
      </w:r>
      <w:r>
        <w:t xml:space="preserve"> dell'offerta: rientrano nelle "attività principali" del Titolare (WP243 §2.1);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 condizione "su larga scala" ricorre in presenza di volume di dati considerevole, ampia gamma di dati (parametri multipli), durata pluriennale del trattamento, portata geografica nazionale/UE.</w:t>
      </w:r>
    </w:p>
    <w:p>
      <w:pPr>
        <w:pStyle w:val="Heading1"/>
        <w:spacing w:after="120" w:before="300"/>
      </w:pPr>
      <w:r>
        <w:t xml:space="preserve">4. Conclusione</w:t>
      </w:r>
    </w:p>
    <w:p>
      <w:pPr>
        <w:spacing w:after="140" w:line="300"/>
        <w:jc w:val="both"/>
      </w:pPr>
      <w:r>
        <w:t xml:space="preserve"/>
      </w:r>
      <w:r>
        <w:rPr>
          <w:b/>
          <w:bCs/>
        </w:rPr>
        <w:t xml:space="preserve">Anche in assenza di obbligo formale in fase pre-lancio (utenti &lt; 1.000)</w:t>
      </w:r>
      <w:r>
        <w:t xml:space="preserve">, la designazione del DPO è </w:t>
      </w:r>
      <w:r>
        <w:rPr>
          <w:b/>
          <w:bCs/>
        </w:rPr>
        <w:t xml:space="preserve">fortemente raccomandata</w:t>
      </w:r>
      <w:r>
        <w:t xml:space="preserve"> e diventa </w:t>
      </w:r>
      <w:r>
        <w:rPr>
          <w:b/>
          <w:bCs/>
        </w:rPr>
        <w:t xml:space="preserve">obbligatoria</w:t>
      </w:r>
      <w:r>
        <w:t xml:space="preserve"> al superamento di soglie prudenziali (indicativamente 5.000 utenti attivi o accesso a livello UE). Motivazioni: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core business = trattamento di dati particolari e monitoraggio sistematico;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utenti minorenni tra le categorie coinvolte;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uso di IA con potenziali obblighi ulteriori (AI Act);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esposizione reputazionale in caso di data breach su dati salute;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agevolazione dei rapporti con il Garante e le controparti B2B (i coach/società privilegeranno fornitori con DPO).</w:t>
      </w:r>
    </w:p>
    <w:p>
      <w:pPr>
        <w:pStyle w:val="Heading1"/>
        <w:spacing w:after="120" w:before="300"/>
      </w:pPr>
      <w:r>
        <w:t xml:space="preserve">5. Requisiti del DPO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Conoscenza specialistica del GDPR e della normativa sulla protezione dei dati;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Familiarità con l'AI Act e con le tecnologie utilizzate;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Indipendenza operativa: no conflitti di interesse (non deve determinare finalità e mezzi del trattamento);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Report diretto al vertice aziendale (rappresentante legale);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Recapiti pubblicati e comunicati al Garante.</w:t>
      </w:r>
    </w:p>
    <w:p>
      <w:pPr>
        <w:pStyle w:val="Heading1"/>
        <w:spacing w:after="120" w:before="300"/>
      </w:pPr>
      <w:r>
        <w:t xml:space="preserve">6. Modalità di designazione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DPO interno</w:t>
      </w:r>
      <w:r>
        <w:t xml:space="preserve">: dipendente/collaboratore con incarico formalizzato — indicato quando il volume di trattamenti è elevato e serve presenza continuativa.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DPO esterno</w:t>
      </w:r>
      <w:r>
        <w:t xml:space="preserve">: consulente/società specializzata con contratto ex art. 37 GDPR — vantaggioso per costi contenuti in fase di startup, ma richiede SLA di reperibilità.</w:t>
      </w:r>
    </w:p>
    <w:p>
      <w:pPr>
        <w:pStyle w:val="Heading1"/>
        <w:spacing w:after="120" w:before="300"/>
      </w:pPr>
      <w:r>
        <w:t xml:space="preserve">7. Decisione</w:t>
      </w:r>
    </w:p>
    <w:p>
      <w:pPr>
        <w:spacing w:after="140" w:line="300"/>
        <w:jc w:val="both"/>
      </w:pPr>
      <w:r>
        <w:t xml:space="preserve">Il Titolare </w:t>
      </w:r>
      <w:r>
        <w:rPr>
          <w:b/>
          <w:bCs/>
        </w:rPr>
        <w:t xml:space="preserve">[SELEZIONA]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designa DPO </w:t>
      </w:r>
      <w:r>
        <w:rPr>
          <w:b/>
          <w:bCs/>
        </w:rPr>
        <w:t xml:space="preserve">interno</w:t>
      </w:r>
      <w:r>
        <w:t xml:space="preserve">: __________________________________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designa DPO </w:t>
      </w:r>
      <w:r>
        <w:rPr>
          <w:b/>
          <w:bCs/>
        </w:rPr>
        <w:t xml:space="preserve">esterno</w:t>
      </w:r>
      <w:r>
        <w:t xml:space="preserve">: __________________________________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rinvia</w:t>
      </w:r>
      <w:r>
        <w:t xml:space="preserve"> la designazione al superamento della soglia di </w:t>
      </w:r>
      <w:r>
        <w:rPr>
          <w:b/>
          <w:bCs/>
        </w:rPr>
        <w:t xml:space="preserve">[N.]</w:t>
      </w:r>
      <w:r>
        <w:t xml:space="preserve"> utenti attivi, riesaminando trimestralmente la condizione.</w:t>
      </w:r>
    </w:p>
    <w:p>
      <w:pPr>
        <w:spacing w:after="140" w:line="300"/>
        <w:jc w:val="both"/>
      </w:pPr>
      <w:r>
        <w:t xml:space="preserve">Data: __________ · Firma del rappresentante legale: __________________________________</w:t>
      </w:r>
    </w:p>
    <w:p>
      <w:pPr>
        <w:pStyle w:val="Heading1"/>
        <w:spacing w:after="120" w:before="300"/>
      </w:pPr>
      <w:r>
        <w:t xml:space="preserve">Comunicazione al Garante</w:t>
      </w:r>
    </w:p>
    <w:p>
      <w:pPr>
        <w:spacing w:after="140" w:line="300"/>
        <w:jc w:val="both"/>
      </w:pPr>
      <w:r>
        <w:t xml:space="preserve">Una volta designato, i dati di contatto del DPO devono essere comunicati al Garante tramite il portale dedicato (www.garanteprivacy.it) entro un termine congruo e pubblicati sul sito.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2026-07-22T13:13:43.766Z</dcterms:created>
  <dcterms:modified xsi:type="dcterms:W3CDTF">2026-07-22T13:13:43.766Z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