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color w:val="000000"/>
        </w:rPr>
        <w:t xml:space="preserve">REMARQUES POUR DNS :</w:t>
      </w:r>
    </w:p>
    <w:p>
      <w:pPr/>
      <w:r>
        <w:rPr>
          <w:rFonts w:ascii="Helvetica" w:hAnsi="Helvetica" w:cs="Helvetica"/>
          <w:sz w:val="24"/>
          <w:sz-cs w:val="24"/>
          <w:color w:val="000000"/>
        </w:rPr>
        <w:t xml:space="preserve">- Un autre point intéressant est la présence d’Akamai qui est un service mettant à disposition des serveurs de cache. Ces serveurs permettent de faire une économie sur le débit Internet. Ceci est utile lorsque les sites ont une forte affluence, un fort trafic. On remarque cependant que celui-ci apparait dans nos traces au moment où les services d’apple comme la météo sont en activité (dû au fait que la capture a été effectuée sur un Mac et que l’application météo tournait en arrière plan) nous laissant penser dans un premier temps que la présence d’Akamai n’est pas lié à l’application Teams. Cependant, nous avons la présence d’akadns qui appartient à la même organisation, Akamai et cette fois-ci c’est bien lié à Teams. On voit aussi qu’Akamai apparait plusieurs fois dans les serveurs authoratifs lié à des services de Microsoft. On peut comprendre l’utilisation de tels serveurs cache au sein de Microsoft car ils utilisent leur services pour les sites liés à Microsoft Online qui est très utilisé dans tous leurs services (Gmail, Outlook, Office, Teams, …)</w:t>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Ajouts d’un graphes sur le pourcentage de détention des domaines résolus et les serveurs authoratifs</w:t>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Modification des graphes application + ajout d’un graphe sur le nombre de paquets</w:t>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Modification des graphes Couche_réseau</w:t>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NOTE SUR LE NOMBRE DE REQUETES : </w:t>
      </w:r>
    </w:p>
    <w:p>
      <w:pPr/>
      <w:r>
        <w:rPr>
          <w:rFonts w:ascii="Helvetica" w:hAnsi="Helvetica" w:cs="Helvetica"/>
          <w:sz w:val="24"/>
          <w:sz-cs w:val="24"/>
          <w:color w:val="000000"/>
        </w:rPr>
        <w:t xml:space="preserve">- Le nombre de messages envoyés est identique en appel audio et en appel vidéo ainsi que le nombre de fichiers partagés</w:t>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NOTE SUR LES TYPES DE REQUETES : </w:t>
      </w:r>
    </w:p>
    <w:p>
      <w:pPr/>
      <w:r>
        <w:rPr>
          <w:rFonts w:ascii="Helvetica" w:hAnsi="Helvetica" w:cs="Helvetica"/>
          <w:sz w:val="24"/>
          <w:sz-cs w:val="24"/>
          <w:color w:val="000000"/>
        </w:rPr>
        <w:t xml:space="preserve">- Pourquoi que des requêtes récursives ? L’utilisation de la récursivité dans les requêtes permet l’amélioration des performances. Vu que Teams est une application de communication en temps réel, il est privilégié d’avoir une latence la plus faible possible. C’est pourquoi des requêtes DNS récursives sont favorisées car celles-ci permettent de ne pas devoir attendre la réponse de chaque serveur DNS, réduisant ainsi le temps d’attente.</w:t>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NOTE SUR LES TEMPS DE VALIDITE :</w:t>
      </w:r>
    </w:p>
    <w:p>
      <w:pPr/>
      <w:r>
        <w:rPr>
          <w:rFonts w:ascii="Helvetica" w:hAnsi="Helvetica" w:cs="Helvetica"/>
          <w:sz w:val="24"/>
          <w:sz-cs w:val="24"/>
          <w:color w:val="000000"/>
        </w:rPr>
        <w:t xml:space="preserve">-Il n’y a pas de recette universelle. Cela dépend du fournisseur et même au sein de ceux-ci, on observe des différences. En effet, lors de notre analyse, nous avons remarqué que DigiCert dessert des certificats ayant une validité allant de 1an, 4ans et même 15 ans. Même chose pour Comodo CA Limited et The USERTRUST desservant des certificats d’une validité de 9 et 13 ans respectivement. A l’inverse, Microsoft reste stable en desservant des certificats ayant une validité constante d’un an.</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CocoaOOXMLWriter/2299.5</generator>
</meta>
</file>