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2"/>
          <w:szCs w:val="22"/>
        </w:rPr>
        <w:t xml:space="preserve">Thème 1 — L'Europe face aux Révolutions</w:t>
      </w:r>
    </w:p>
    <w:p>
      <w:pPr>
        <w:spacing w:after="60"/>
        <w:jc w:val="center"/>
      </w:pPr>
      <w:r>
        <w:rPr>
          <w:b/>
          <w:bCs/>
          <w:color w:val="8B0000"/>
          <w:sz w:val="44"/>
          <w:szCs w:val="44"/>
        </w:rPr>
        <w:t xml:space="preserve">La Révolution française et l'Empire</w:t>
      </w:r>
    </w:p>
    <w:p>
      <w:pPr>
        <w:spacing w:after="200"/>
        <w:jc w:val="center"/>
      </w:pPr>
      <w:r>
        <w:rPr>
          <w:color w:val="1F3864"/>
          <w:sz w:val="26"/>
          <w:szCs w:val="26"/>
        </w:rPr>
        <w:t xml:space="preserve">Une nouvelle conception de la Nation (1789 – 1815)</w:t>
      </w:r>
    </w:p>
    <w:p>
      <w:pPr>
        <w:pBdr>
          <w:top w:val="single" w:color="8B0000" w:sz="6" w:space="6"/>
          <w:bottom w:val="single" w:color="8B0000" w:sz="6" w:space="6"/>
        </w:pBdr>
        <w:spacing w:after="240"/>
        <w:jc w:val="center"/>
      </w:pPr>
      <w:r>
        <w:rPr>
          <w:i/>
          <w:iCs/>
          <w:sz w:val="20"/>
          <w:szCs w:val="20"/>
        </w:rPr>
        <w:t xml:space="preserve">Chronologie intégrale de révision — toutes les dates du cours, de la frise, des dossiers documentaires et du diaporama</w:t>
      </w:r>
    </w:p>
    <w:p>
      <w:pPr>
        <w:spacing w:after="120"/>
      </w:pPr>
      <w:r>
        <w:rPr>
          <w:i/>
          <w:iCs/>
          <w:sz w:val="19"/>
          <w:szCs w:val="19"/>
        </w:rPr>
        <w:t xml:space="preserve">Ce document rassemble, dans l'ordre chronologique, toutes les dates repérées dans tes fichiers : le cours « Cours Révolution et Empire », la frise « Chronologies La Révolution et l'Empire » (Hatier p. 12-13), le diaporama « Revolution Empire », les dossiers documentaires (la Terreur, la Révolution et les cultes, Madame Roland), le texte de la DDHC et le tableau d'analyse du tableau de Le Barbier. Aucune date extérieure à ces fichiers n'a été ajoutée. Les mentions entre crochets indiquent la source, pour que tu puisses retrouver le document d'origine.</w:t>
      </w:r>
    </w:p>
    <w:p>
      <w:pPr>
        <w:pStyle w:val="Heading1"/>
        <w:pBdr>
          <w:bottom w:val="single" w:color="8B0000" w:sz="8" w:space="4"/>
        </w:pBdr>
        <w:spacing w:after="160" w:before="360"/>
      </w:pPr>
      <w:r>
        <w:rPr>
          <w:b/>
          <w:bCs/>
          <w:color w:val="8B0000"/>
          <w:sz w:val="30"/>
          <w:szCs w:val="30"/>
        </w:rPr>
        <w:t xml:space="preserve">I. Avant 1789 : les origines de la crise</w:t>
      </w:r>
    </w:p>
    <w:p>
      <w:pPr>
        <w:spacing w:after="90"/>
        <w:ind w:left="200" w:hanging="0"/>
      </w:pPr>
      <w:r>
        <w:rPr>
          <w:b/>
          <w:bCs/>
          <w:color w:val="8B0000"/>
        </w:rPr>
        <w:t xml:space="preserve">Seconde moitié du XVIIIe siècle — </w:t>
      </w:r>
      <w:r>
        <w:t xml:space="preserve">La société d'ordres est remise en cause. Le tiers état ne supporte plus les privilèges du clergé et de la noblesse (2 à 3 % de la population, exemptés d'impôts). La bourgeoisie intellectuelle (avocats, journalistes) et économique (marchands, banquiers) réclame l'égalité politique et juridique ; les paysans veulent la fin des corvées et des obligations seigneuriales. Malgré la censure, pamphlets et caricatures contre le roi et l'Église se multiplient, portés par l'alphabétisation.</w:t>
      </w:r>
      <w:r>
        <w:rPr>
          <w:i/>
          <w:iCs/>
          <w:color w:val="808080"/>
          <w:sz w:val="17"/>
          <w:szCs w:val="17"/>
        </w:rPr>
        <w:t xml:space="preserve">  [cours]</w:t>
      </w:r>
    </w:p>
    <w:p>
      <w:pPr>
        <w:spacing w:after="90"/>
        <w:ind w:left="200" w:hanging="0"/>
      </w:pPr>
      <w:r>
        <w:rPr>
          <w:b/>
          <w:bCs/>
          <w:color w:val="8B0000"/>
        </w:rPr>
        <w:t xml:space="preserve">1726 – 1751 – 1775 – 1788 — </w:t>
      </w:r>
      <w:r>
        <w:t xml:space="preserve">Les quatre dates du graphique du budget de la monarchie : les dépenses passent d'environ 180 à plus de 600 millions de livres, avec une part croissante du remboursement de la dette et des dépenses militaires. C'est la faillite financière qui déclenche la convocation des États généraux.</w:t>
      </w:r>
      <w:r>
        <w:rPr>
          <w:i/>
          <w:iCs/>
          <w:color w:val="808080"/>
          <w:sz w:val="17"/>
          <w:szCs w:val="17"/>
        </w:rPr>
        <w:t xml:space="preserve">  [diaporama, diapo 7 – Magnard p. 265]</w:t>
      </w:r>
    </w:p>
    <w:p>
      <w:pPr>
        <w:spacing w:after="90"/>
        <w:ind w:left="200" w:hanging="0"/>
      </w:pPr>
      <w:r>
        <w:rPr>
          <w:b/>
          <w:bCs/>
          <w:color w:val="8B0000"/>
        </w:rPr>
        <w:t xml:space="preserve">1774 – 1776 — </w:t>
      </w:r>
      <w:r>
        <w:t xml:space="preserve">Ministère de Turgot sous Louis XVI : tentatives de réformes libérales (suppression de la corvée royale) et fiscales (meilleure répartition des impôts). Elles échouent face à l'opposition des privilégiés. Louis XVI n'est donc pas totalement hostile aux idées des Lumières, mais il ne peut pas réformer.</w:t>
      </w:r>
      <w:r>
        <w:rPr>
          <w:i/>
          <w:iCs/>
          <w:color w:val="808080"/>
          <w:sz w:val="17"/>
          <w:szCs w:val="17"/>
        </w:rPr>
        <w:t xml:space="preserve">  [cours]</w:t>
      </w:r>
    </w:p>
    <w:p>
      <w:pPr>
        <w:spacing w:after="90"/>
        <w:ind w:left="200" w:hanging="0"/>
      </w:pPr>
      <w:r>
        <w:rPr>
          <w:b/>
          <w:bCs/>
          <w:color w:val="8B0000"/>
        </w:rPr>
        <w:t xml:space="preserve">1787 – 1789 — </w:t>
      </w:r>
      <w:r>
        <w:t xml:space="preserve">Accélération de la crise du système politique et social, qui aboutit à la rupture de 1789. La Révolution ne naît pas brusquement : elle s'inscrit dans un cycle de contestations, révoltes et révolutions qui secoue l'Europe dans la seconde moitié du XVIIIe siècle.</w:t>
      </w:r>
      <w:r>
        <w:rPr>
          <w:i/>
          <w:iCs/>
          <w:color w:val="808080"/>
          <w:sz w:val="17"/>
          <w:szCs w:val="17"/>
        </w:rPr>
        <w:t xml:space="preserve">  [cours]</w:t>
      </w:r>
    </w:p>
    <w:p>
      <w:pPr>
        <w:spacing w:after="90"/>
        <w:ind w:left="200" w:hanging="0"/>
      </w:pPr>
      <w:r>
        <w:rPr>
          <w:b/>
          <w:bCs/>
          <w:color w:val="8B0000"/>
        </w:rPr>
        <w:t xml:space="preserve">1789 (frontières) — </w:t>
      </w:r>
      <w:r>
        <w:t xml:space="preserve">Les « frontières du royaume de France en 1789 » servent de référence sur les cartes des guerres révolutionnaires : elles permettent de mesurer les territoires rattachés ensuite à la France.</w:t>
      </w:r>
      <w:r>
        <w:rPr>
          <w:i/>
          <w:iCs/>
          <w:color w:val="808080"/>
          <w:sz w:val="17"/>
          <w:szCs w:val="17"/>
        </w:rPr>
        <w:t xml:space="preserve">  [diaporama, diapo 36]</w:t>
      </w:r>
    </w:p>
    <w:p>
      <w:pPr>
        <w:pStyle w:val="Heading1"/>
        <w:pBdr>
          <w:bottom w:val="single" w:color="8B0000" w:sz="8" w:space="4"/>
        </w:pBdr>
        <w:spacing w:after="160" w:before="360"/>
      </w:pPr>
      <w:r>
        <w:rPr>
          <w:b/>
          <w:bCs/>
          <w:color w:val="8B0000"/>
          <w:sz w:val="30"/>
          <w:szCs w:val="30"/>
        </w:rPr>
        <w:t xml:space="preserve">II. 1789 : la nation affirme sa souveraineté</w:t>
      </w:r>
    </w:p>
    <w:p>
      <w:pPr>
        <w:spacing w:after="90"/>
        <w:ind w:left="200" w:hanging="0"/>
      </w:pPr>
      <w:r>
        <w:rPr>
          <w:b/>
          <w:bCs/>
          <w:color w:val="8B0000"/>
        </w:rPr>
        <w:t xml:space="preserve">5 mai 1789 — </w:t>
      </w:r>
      <w:r>
        <w:t xml:space="preserve">Ouverture des États généraux à Versailles, convoqués par Louis XVI pour résoudre le déficit budgétaire. Les doléances des trois ordres, consignées dans les cahiers, s'avèrent incompatibles et le roi rejette le vote par tête. Composition : 291 représentants du clergé, 270 de la noblesse, 578 députés du tiers état ; le roi est placé dans l'ombre, Necker à ses côtés.</w:t>
      </w:r>
      <w:r>
        <w:rPr>
          <w:i/>
          <w:iCs/>
          <w:color w:val="808080"/>
          <w:sz w:val="17"/>
          <w:szCs w:val="17"/>
        </w:rPr>
        <w:t xml:space="preserve">  [cours + frise + diaporama, diapos 8-9 (tableau d'Auguste Couder, 1839)]</w:t>
      </w:r>
    </w:p>
    <w:p>
      <w:pPr>
        <w:spacing w:after="90"/>
        <w:ind w:left="200" w:hanging="0"/>
      </w:pPr>
      <w:r>
        <w:rPr>
          <w:b/>
          <w:bCs/>
          <w:color w:val="8B0000"/>
        </w:rPr>
        <w:t xml:space="preserve">17 juin 1789 — </w:t>
      </w:r>
      <w:r>
        <w:t xml:space="preserve">Les députés du tiers état, rejoints par 19 membres du clergé dont l'abbé Sieyès, se proclament « Assemblée nationale » : ils se considèrent comme les représentants légitimes de la nation entière et posent le principe de souveraineté nationale aux dépens du roi. C'est le premier acte révolutionnaire.</w:t>
      </w:r>
      <w:r>
        <w:rPr>
          <w:i/>
          <w:iCs/>
          <w:color w:val="808080"/>
          <w:sz w:val="17"/>
          <w:szCs w:val="17"/>
        </w:rPr>
        <w:t xml:space="preserve">  [cours]</w:t>
      </w:r>
    </w:p>
    <w:p>
      <w:pPr>
        <w:spacing w:after="90"/>
        <w:ind w:left="200" w:hanging="0"/>
      </w:pPr>
      <w:r>
        <w:rPr>
          <w:b/>
          <w:bCs/>
          <w:color w:val="8B0000"/>
        </w:rPr>
        <w:t xml:space="preserve">20 juin 1789 — </w:t>
      </w:r>
      <w:r>
        <w:t xml:space="preserve">Serment du Jeu de Paume : rejoints par la majorité du clergé, les députés jurent de ne pas se séparer avant d'avoir rédigé une Constitution. Le texte du serment précise qu'ils se rassembleront « partout où les circonstances l'exigeront ». Immortalisé par l'esquisse de Jacques-Louis David (1790, musée Carnavalet) : Bailly au centre et en hauteur, la lumière et le vent venant des fenêtres symbolisant l'air nouveau ; Martin-Dauch, seul, refuse de prêter serment.</w:t>
      </w:r>
      <w:r>
        <w:rPr>
          <w:i/>
          <w:iCs/>
          <w:color w:val="808080"/>
          <w:sz w:val="17"/>
          <w:szCs w:val="17"/>
        </w:rPr>
        <w:t xml:space="preserve">  [cours + frise + diaporama, diapos 11-13]</w:t>
      </w:r>
    </w:p>
    <w:p>
      <w:pPr>
        <w:spacing w:after="90"/>
        <w:ind w:left="200" w:hanging="0"/>
      </w:pPr>
      <w:r>
        <w:rPr>
          <w:b/>
          <w:bCs/>
          <w:color w:val="8B0000"/>
        </w:rPr>
        <w:t xml:space="preserve">9 juillet 1789 — </w:t>
      </w:r>
      <w:r>
        <w:t xml:space="preserve">Les députés se proclament Assemblée nationale constituante et commencent à élaborer une Constitution qui définit et organise les pouvoirs. C'est la fin de l'absolutisme : le pouvoir législatif du roi est transféré à l'Assemblée.</w:t>
      </w:r>
      <w:r>
        <w:rPr>
          <w:i/>
          <w:iCs/>
          <w:color w:val="808080"/>
          <w:sz w:val="17"/>
          <w:szCs w:val="17"/>
        </w:rPr>
        <w:t xml:space="preserve">  [cours]</w:t>
      </w:r>
    </w:p>
    <w:p>
      <w:pPr>
        <w:spacing w:after="90"/>
        <w:ind w:left="200" w:hanging="0"/>
      </w:pPr>
      <w:r>
        <w:rPr>
          <w:b/>
          <w:bCs/>
          <w:color w:val="8B0000"/>
        </w:rPr>
        <w:t xml:space="preserve">14 juillet 1789 — </w:t>
      </w:r>
      <w:r>
        <w:t xml:space="preserve">Prise de la Bastille : entrée en scène du peuple parisien (les futurs « sans-culottes »). Des centaines de Parisiens s'emparent des armes entreposées et attaquent une prison symbole de l'arbitraire royal. Le gouverneur, le marquis de Launay, est arrêté puis tué. L'événement devient le symbole de la fin du despotisme.</w:t>
      </w:r>
      <w:r>
        <w:rPr>
          <w:i/>
          <w:iCs/>
          <w:color w:val="808080"/>
          <w:sz w:val="17"/>
          <w:szCs w:val="17"/>
        </w:rPr>
        <w:t xml:space="preserve">  [cours + frise + diaporama, diapo 15 (Jean-Pierre Houël, 1789)]</w:t>
      </w:r>
    </w:p>
    <w:p>
      <w:pPr>
        <w:spacing w:after="90"/>
        <w:ind w:left="200" w:hanging="0"/>
      </w:pPr>
      <w:r>
        <w:rPr>
          <w:b/>
          <w:bCs/>
          <w:color w:val="8B0000"/>
        </w:rPr>
        <w:t xml:space="preserve">Juillet 1789 — </w:t>
      </w:r>
      <w:r>
        <w:t xml:space="preserve">Jean-Sylvain Bailly, président de l'Assemblée nationale, devient maire de Paris.</w:t>
      </w:r>
      <w:r>
        <w:rPr>
          <w:i/>
          <w:iCs/>
          <w:color w:val="808080"/>
          <w:sz w:val="17"/>
          <w:szCs w:val="17"/>
        </w:rPr>
        <w:t xml:space="preserve">  [cours (légende de l'esquisse de David)]</w:t>
      </w:r>
    </w:p>
    <w:p>
      <w:pPr>
        <w:spacing w:after="90"/>
        <w:ind w:left="200" w:hanging="0"/>
      </w:pPr>
      <w:r>
        <w:rPr>
          <w:b/>
          <w:bCs/>
          <w:color w:val="8B0000"/>
        </w:rPr>
        <w:t xml:space="preserve">1er juillet 1789 — </w:t>
      </w:r>
      <w:r>
        <w:t xml:space="preserve">Date de référence retenue plus tard par la loi des suspects (1793) pour définir les émigrés : sont suspects ceux qui ont émigré entre le 1er juillet 1789 et la loi du 8 avril 1792, même rentrés en France.</w:t>
      </w:r>
      <w:r>
        <w:rPr>
          <w:i/>
          <w:iCs/>
          <w:color w:val="808080"/>
          <w:sz w:val="17"/>
          <w:szCs w:val="17"/>
        </w:rPr>
        <w:t xml:space="preserve">  [dossier « la Terreur », doc. 3]</w:t>
      </w:r>
    </w:p>
    <w:p>
      <w:pPr>
        <w:spacing w:after="90"/>
        <w:ind w:left="200" w:hanging="0"/>
      </w:pPr>
      <w:r>
        <w:rPr>
          <w:b/>
          <w:bCs/>
          <w:color w:val="8B0000"/>
        </w:rPr>
        <w:t xml:space="preserve">Fin juillet – été 1789 — </w:t>
      </w:r>
      <w:r>
        <w:t xml:space="preserve">La Grande Peur : des rumeurs annoncent l'arrivée de brigands payés par les aristocrates. Des paysans armés attaquent seigneuries et abbayes et brûlent les registres des droits seigneuriaux. Le mouvement se propage depuis plusieurs foyers (Normandie, Bretagne, Poitou, Bourgogne, Dauphiné…) et s'ajoute aux troubles urbains, dont l'épicentre politique est Versailles-Paris.</w:t>
      </w:r>
      <w:r>
        <w:rPr>
          <w:i/>
          <w:iCs/>
          <w:color w:val="808080"/>
          <w:sz w:val="17"/>
          <w:szCs w:val="17"/>
        </w:rPr>
        <w:t xml:space="preserve">  [cours + diaporama, diapo 16 (carte de la Grande Peur, d'après J.-P. Jessenne)]</w:t>
      </w:r>
    </w:p>
    <w:p>
      <w:pPr>
        <w:spacing w:after="90"/>
        <w:ind w:left="200" w:hanging="0"/>
      </w:pPr>
      <w:r>
        <w:rPr>
          <w:b/>
          <w:bCs/>
          <w:color w:val="8B0000"/>
        </w:rPr>
        <w:t xml:space="preserve">Nuit du 4 août 1789 — </w:t>
      </w:r>
      <w:r>
        <w:t xml:space="preserve">Abolition des privilèges votée par les députés effrayés par l'ampleur des désordres. La société d'ordres n'existe plus. L'estampe « Le tems passé n'est plus » célèbre l'événement.</w:t>
      </w:r>
      <w:r>
        <w:rPr>
          <w:i/>
          <w:iCs/>
          <w:color w:val="808080"/>
          <w:sz w:val="17"/>
          <w:szCs w:val="17"/>
        </w:rPr>
        <w:t xml:space="preserve">  [cours + frise + diaporama, diapo 17]</w:t>
      </w:r>
    </w:p>
    <w:p>
      <w:pPr>
        <w:spacing w:after="90"/>
        <w:ind w:left="200" w:hanging="0"/>
      </w:pPr>
      <w:r>
        <w:rPr>
          <w:b/>
          <w:bCs/>
          <w:color w:val="8B0000"/>
        </w:rPr>
        <w:t xml:space="preserve">26 août 1789 — </w:t>
      </w:r>
      <w:r>
        <w:t xml:space="preserve">Adoption de la Déclaration des droits de l'homme et du citoyen, aboutissement du processus engagé le 4 août. Inspirée des Lumières, elle énonce les droits naturels (art. 2 : liberté, propriété, sûreté, résistance à l'oppression), affirme l'autorité de la loi (art. 6 : « la loi est l'expression de la volonté générale »), proclame la souveraineté de la Nation (art. 3), garantit la liberté d'opinion et d'expression (art. 10 et 11) et fait de la propriété un droit « inviolable et sacré » (art. 17).</w:t>
      </w:r>
      <w:r>
        <w:rPr>
          <w:i/>
          <w:iCs/>
          <w:color w:val="808080"/>
          <w:sz w:val="17"/>
          <w:szCs w:val="17"/>
        </w:rPr>
        <w:t xml:space="preserve">  [cours + frise + fichier « DDHC »]</w:t>
      </w:r>
    </w:p>
    <w:p>
      <w:pPr>
        <w:spacing w:after="90"/>
        <w:ind w:left="200" w:hanging="0"/>
      </w:pPr>
      <w:r>
        <w:rPr>
          <w:b/>
          <w:bCs/>
          <w:color w:val="8B0000"/>
        </w:rPr>
        <w:t xml:space="preserve">1789 (tableau allégorique) — </w:t>
      </w:r>
      <w:r>
        <w:t xml:space="preserve">Le tableau de Jean-Jacques-François Le Barbier (huile sur bois, 71 × 56 cm, musée Carnavalet) met en images la Déclaration : les tables de la Loi, le triangle de l'égalité, l'œil de l'Être suprême, le bonnet phrygien des esclaves affranchis, le serpent qui se mord la queue (éternité des droits), les chaînes du despotisme brisées, le faisceau de l'union de la nation, les nuages qui s'écartent pour une ère nouvelle.</w:t>
      </w:r>
      <w:r>
        <w:rPr>
          <w:i/>
          <w:iCs/>
          <w:color w:val="808080"/>
          <w:sz w:val="17"/>
          <w:szCs w:val="17"/>
        </w:rPr>
        <w:t xml:space="preserve">  [diaporama, diapo 18 + « Tableau DDHC complet »]</w:t>
      </w:r>
    </w:p>
    <w:p>
      <w:pPr>
        <w:spacing w:after="90"/>
        <w:ind w:left="200" w:hanging="0"/>
      </w:pPr>
      <w:r>
        <w:rPr>
          <w:b/>
          <w:bCs/>
          <w:color w:val="8B0000"/>
        </w:rPr>
        <w:t xml:space="preserve">Octobre 1789 — </w:t>
      </w:r>
      <w:r>
        <w:t xml:space="preserve">Les journées d'octobre : les femmes parisiennes marchent sur Versailles ; elles constituent l'un des rares moyens d'action politique des femmes, exclues du vote (estampe anonyme, BnF).</w:t>
      </w:r>
      <w:r>
        <w:rPr>
          <w:i/>
          <w:iCs/>
          <w:color w:val="808080"/>
          <w:sz w:val="17"/>
          <w:szCs w:val="17"/>
        </w:rPr>
        <w:t xml:space="preserve">  [dossier « Madame Roland », doc. 6]</w:t>
      </w:r>
    </w:p>
    <w:p>
      <w:pPr>
        <w:spacing w:after="90"/>
        <w:ind w:left="200" w:hanging="0"/>
      </w:pPr>
      <w:r>
        <w:rPr>
          <w:b/>
          <w:bCs/>
          <w:color w:val="8B0000"/>
        </w:rPr>
        <w:t xml:space="preserve">22 décembre 1789 — </w:t>
      </w:r>
      <w:r>
        <w:t xml:space="preserve">Décret fixant la nomination des membres des assemblées de département ; c'est cette procédure électorale qui servira ensuite à élire les évêques dans le cadre de la Constitution civile du clergé.</w:t>
      </w:r>
      <w:r>
        <w:rPr>
          <w:i/>
          <w:iCs/>
          <w:color w:val="808080"/>
          <w:sz w:val="17"/>
          <w:szCs w:val="17"/>
        </w:rPr>
        <w:t xml:space="preserve">  [dossier « la Révolution et les cultes », doc. 1]</w:t>
      </w:r>
    </w:p>
    <w:p>
      <w:pPr>
        <w:spacing w:after="90"/>
        <w:ind w:left="200" w:hanging="0"/>
      </w:pPr>
      <w:r>
        <w:rPr>
          <w:b/>
          <w:bCs/>
          <w:color w:val="8B0000"/>
        </w:rPr>
        <w:t xml:space="preserve">1789 (préambule de la DDHC) — </w:t>
      </w:r>
      <w:r>
        <w:t xml:space="preserve">Première étape de la « lente et difficile évolution juridique » qui mène au Code civil : le préambule fonde les réclamations des citoyens sur « des principes simples et incontestables ».</w:t>
      </w:r>
      <w:r>
        <w:rPr>
          <w:i/>
          <w:iCs/>
          <w:color w:val="808080"/>
          <w:sz w:val="17"/>
          <w:szCs w:val="17"/>
        </w:rPr>
        <w:t xml:space="preserve">  [diaporama, diapo 46 – Magnard p. 34]</w:t>
      </w:r>
    </w:p>
    <w:p>
      <w:pPr>
        <w:pBdr>
          <w:left w:val="single" w:color="C00000" w:sz="12" w:space="8"/>
        </w:pBdr>
        <w:spacing w:after="140" w:before="80"/>
        <w:ind w:left="200"/>
      </w:pPr>
      <w:r>
        <w:rPr>
          <w:i/>
          <w:iCs/>
          <w:sz w:val="19"/>
          <w:szCs w:val="19"/>
        </w:rPr>
        <w:t xml:space="preserve">Transition à retenir : 1789 est une rupture majeure — début conventionnel de l'époque contemporaine — car elle définit les principes fondamentaux. Le défi qui s'ouvre est de construire un ordre politique nouveau fondé sur la souveraineté nationale.</w:t>
      </w:r>
    </w:p>
    <w:p>
      <w:pPr>
        <w:pStyle w:val="Heading1"/>
        <w:pBdr>
          <w:bottom w:val="single" w:color="8B0000" w:sz="8" w:space="4"/>
        </w:pBdr>
        <w:spacing w:after="160" w:before="360"/>
      </w:pPr>
      <w:r>
        <w:rPr>
          <w:b/>
          <w:bCs/>
          <w:color w:val="8B0000"/>
          <w:sz w:val="30"/>
          <w:szCs w:val="30"/>
        </w:rPr>
        <w:t xml:space="preserve">III. 1790 – 1791 : construire une nouvelle France</w:t>
      </w:r>
    </w:p>
    <w:p>
      <w:pPr>
        <w:spacing w:after="90"/>
        <w:ind w:left="200" w:hanging="0"/>
      </w:pPr>
      <w:r>
        <w:rPr>
          <w:b/>
          <w:bCs/>
          <w:color w:val="8B0000"/>
        </w:rPr>
        <w:t xml:space="preserve">13 février 1790 — </w:t>
      </w:r>
      <w:r>
        <w:t xml:space="preserve">Décret de l'Assemblée nationale supprimant les ordres religieux. Le témoignage d'une religieuse (Journal d'une Visitandine, 1793) décrit la sortie du couvent, le déménagement et l'abandon des « saintes livrées ».</w:t>
      </w:r>
      <w:r>
        <w:rPr>
          <w:i/>
          <w:iCs/>
          <w:color w:val="808080"/>
          <w:sz w:val="17"/>
          <w:szCs w:val="17"/>
        </w:rPr>
        <w:t xml:space="preserve">  [dossier « la Révolution et les cultes », doc. 4 et 5]</w:t>
      </w:r>
    </w:p>
    <w:p>
      <w:pPr>
        <w:spacing w:after="90"/>
        <w:ind w:left="200" w:hanging="0"/>
      </w:pPr>
      <w:r>
        <w:rPr>
          <w:b/>
          <w:bCs/>
          <w:color w:val="8B0000"/>
        </w:rPr>
        <w:t xml:space="preserve">Mai 1790 — </w:t>
      </w:r>
      <w:r>
        <w:t xml:space="preserve">L'Assemblée constituante proclame une Déclaration de paix au monde : « la nation française renonce à entreprendre aucune guerre dans la vue de faire des conquêtes […] et n'emploiera jamais la force contre la liberté d'aucun peuple ».</w:t>
      </w:r>
      <w:r>
        <w:rPr>
          <w:i/>
          <w:iCs/>
          <w:color w:val="808080"/>
          <w:sz w:val="17"/>
          <w:szCs w:val="17"/>
        </w:rPr>
        <w:t xml:space="preserve">  [cours]</w:t>
      </w:r>
    </w:p>
    <w:p>
      <w:pPr>
        <w:spacing w:after="90"/>
        <w:ind w:left="200" w:hanging="0"/>
      </w:pPr>
      <w:r>
        <w:rPr>
          <w:b/>
          <w:bCs/>
          <w:color w:val="8B0000"/>
        </w:rPr>
        <w:t xml:space="preserve">12 juillet 1790 — </w:t>
      </w:r>
      <w:r>
        <w:t xml:space="preserve">Constitution civile du clergé : chaque département forme un diocèse, tous les autres titres ecclésiastiques sont supprimés, évêques et curés sont désormais élus au scrutin, et les prêtres, payés par la nation, deviennent des fonctionnaires. L'élu doit prêter serment de fidélité « à la Nation, à la Loi, au Roi » et de maintenir la Constitution.</w:t>
      </w:r>
      <w:r>
        <w:rPr>
          <w:i/>
          <w:iCs/>
          <w:color w:val="808080"/>
          <w:sz w:val="17"/>
          <w:szCs w:val="17"/>
        </w:rPr>
        <w:t xml:space="preserve">  [cours + dossier « les cultes », doc. 1 et 2 + diaporama, diapo 28]</w:t>
      </w:r>
    </w:p>
    <w:p>
      <w:pPr>
        <w:spacing w:after="90"/>
        <w:ind w:left="200" w:hanging="0"/>
      </w:pPr>
      <w:r>
        <w:rPr>
          <w:b/>
          <w:bCs/>
          <w:color w:val="8B0000"/>
        </w:rPr>
        <w:t xml:space="preserve">14 juillet 1790 — </w:t>
      </w:r>
      <w:r>
        <w:t xml:space="preserve">Fête de la Fédération : premier grand rituel de l'unité nationale, élément de la nouvelle symbolique républicaine (avec les arbres de la liberté, les allégories de la Liberté et de Marianne, les chants).</w:t>
      </w:r>
      <w:r>
        <w:rPr>
          <w:i/>
          <w:iCs/>
          <w:color w:val="808080"/>
          <w:sz w:val="17"/>
          <w:szCs w:val="17"/>
        </w:rPr>
        <w:t xml:space="preserve">  [cours + diaporama, diapos 29-30]</w:t>
      </w:r>
    </w:p>
    <w:p>
      <w:pPr>
        <w:spacing w:after="90"/>
        <w:ind w:left="200" w:hanging="0"/>
      </w:pPr>
      <w:r>
        <w:rPr>
          <w:b/>
          <w:bCs/>
          <w:color w:val="8B0000"/>
        </w:rPr>
        <w:t xml:space="preserve">1790 (estampes du serment) — </w:t>
      </w:r>
      <w:r>
        <w:t xml:space="preserve">Estampes opposant le « prêtre patriote » prêtant de bonne foi le serment civique au « prêtre aristocrate » qui le fuit : le clergé se divise entre jureurs et réfractaires.</w:t>
      </w:r>
      <w:r>
        <w:rPr>
          <w:i/>
          <w:iCs/>
          <w:color w:val="808080"/>
          <w:sz w:val="17"/>
          <w:szCs w:val="17"/>
        </w:rPr>
        <w:t xml:space="preserve">  [dossier « les cultes », doc. 2]</w:t>
      </w:r>
    </w:p>
    <w:p>
      <w:pPr>
        <w:spacing w:after="90"/>
        <w:ind w:left="200" w:hanging="0"/>
      </w:pPr>
      <w:r>
        <w:rPr>
          <w:b/>
          <w:bCs/>
          <w:color w:val="8B0000"/>
        </w:rPr>
        <w:t xml:space="preserve">1790 (portrait) — </w:t>
      </w:r>
      <w:r>
        <w:t xml:space="preserve">Portrait de Manon Roland (huile sur toile, 64 × 54 cm, musée Lambinet, Versailles) : figure des salons girondins.</w:t>
      </w:r>
      <w:r>
        <w:rPr>
          <w:i/>
          <w:iCs/>
          <w:color w:val="808080"/>
          <w:sz w:val="17"/>
          <w:szCs w:val="17"/>
        </w:rPr>
        <w:t xml:space="preserve">  [dossier « Madame Roland » + diaporama, diapo 27]</w:t>
      </w:r>
    </w:p>
    <w:p>
      <w:pPr>
        <w:spacing w:after="90"/>
        <w:ind w:left="200" w:hanging="0"/>
      </w:pPr>
      <w:r>
        <w:rPr>
          <w:b/>
          <w:bCs/>
          <w:color w:val="8B0000"/>
        </w:rPr>
        <w:t xml:space="preserve">1791 — </w:t>
      </w:r>
      <w:r>
        <w:t xml:space="preserve">Vote de la Constitution : la France devient une monarchie constitutionnelle. La souveraineté appartient à la nation, qui l'exerce par une Assemblée législative de 745 députés votant le budget et les lois ; le roi nomme les ministres, exécute les lois et dispose d'un droit de veto. Mais le peuple n'est pas souverain dans son ensemble : suffrage censitaire (50 000 électeurs, cens de 10 jours de travail ; 4,3 millions de citoyens actifs, cens de 3 jours) et exclusion des femmes et des citoyens passifs.</w:t>
      </w:r>
      <w:r>
        <w:rPr>
          <w:i/>
          <w:iCs/>
          <w:color w:val="808080"/>
          <w:sz w:val="17"/>
          <w:szCs w:val="17"/>
        </w:rPr>
        <w:t xml:space="preserve">  [cours + schéma du cours + diaporama, diapo 20]</w:t>
      </w:r>
    </w:p>
    <w:p>
      <w:pPr>
        <w:spacing w:after="90"/>
        <w:ind w:left="200" w:hanging="0"/>
      </w:pPr>
      <w:r>
        <w:rPr>
          <w:b/>
          <w:bCs/>
          <w:color w:val="8B0000"/>
        </w:rPr>
        <w:t xml:space="preserve">1791 (nouvelle devise) — </w:t>
      </w:r>
      <w:r>
        <w:t xml:space="preserve">« La Nation, la Loi, le Roi » : la devise de la monarchie constitutionnelle, mise en scène dans le « Système astronomique de la Révolution française » de Moullin, imprimé à Paris en 1791 (BnF), où la Démocratie et la Monarchie gravitent autour de la nation, entre atmosphère royaliste et atmosphère républicaine.</w:t>
      </w:r>
      <w:r>
        <w:rPr>
          <w:i/>
          <w:iCs/>
          <w:color w:val="808080"/>
          <w:sz w:val="17"/>
          <w:szCs w:val="17"/>
        </w:rPr>
        <w:t xml:space="preserve">  [diaporama, diapo 21]</w:t>
      </w:r>
    </w:p>
    <w:p>
      <w:pPr>
        <w:spacing w:after="90"/>
        <w:ind w:left="200" w:hanging="0"/>
      </w:pPr>
      <w:r>
        <w:rPr>
          <w:b/>
          <w:bCs/>
          <w:color w:val="8B0000"/>
        </w:rPr>
        <w:t xml:space="preserve">20 et 21 juin 1791 — </w:t>
      </w:r>
      <w:r>
        <w:t xml:space="preserve">Fuite du roi et de sa famille, arrêtés à Varennes (en Lorraine) et ramenés à Paris aux Tuileries. Louis XVI y perd la confiance des Parisiens. La caricature « La famille des cochons ramenée dans l'étable » (musée Carnavalet) tourne l'épisode en dérision.</w:t>
      </w:r>
      <w:r>
        <w:rPr>
          <w:i/>
          <w:iCs/>
          <w:color w:val="808080"/>
          <w:sz w:val="17"/>
          <w:szCs w:val="17"/>
        </w:rPr>
        <w:t xml:space="preserve">  [cours + diaporama, diapo 22]</w:t>
      </w:r>
    </w:p>
    <w:p>
      <w:pPr>
        <w:spacing w:after="90"/>
        <w:ind w:left="200" w:hanging="0"/>
      </w:pPr>
      <w:r>
        <w:rPr>
          <w:b/>
          <w:bCs/>
          <w:color w:val="8B0000"/>
        </w:rPr>
        <w:t xml:space="preserve">1791 (Constitution, titre Ier) — </w:t>
      </w:r>
      <w:r>
        <w:t xml:space="preserve">« Il sera fait un code de lois civiles communes à tout le royaume » : deuxième étape de la genèse du Code civil.</w:t>
      </w:r>
      <w:r>
        <w:rPr>
          <w:i/>
          <w:iCs/>
          <w:color w:val="808080"/>
          <w:sz w:val="17"/>
          <w:szCs w:val="17"/>
        </w:rPr>
        <w:t xml:space="preserve">  [diaporama, diapo 46]</w:t>
      </w:r>
    </w:p>
    <w:p>
      <w:pPr>
        <w:spacing w:after="90"/>
        <w:ind w:left="200" w:hanging="0"/>
      </w:pPr>
      <w:r>
        <w:rPr>
          <w:b/>
          <w:bCs/>
          <w:color w:val="8B0000"/>
        </w:rPr>
        <w:t xml:space="preserve">1791 (Olympe de Gouges) — </w:t>
      </w:r>
      <w:r>
        <w:t xml:space="preserve">Olympe de Gouges rédige un projet de Déclaration des droits de la femme et de la citoyenne. Très mal reçue, elle sera exécutée en 1793.</w:t>
      </w:r>
      <w:r>
        <w:rPr>
          <w:i/>
          <w:iCs/>
          <w:color w:val="808080"/>
          <w:sz w:val="17"/>
          <w:szCs w:val="17"/>
        </w:rPr>
        <w:t xml:space="preserve">  [dossier « Madame Roland », doc. 5 + cours]</w:t>
      </w:r>
    </w:p>
    <w:p>
      <w:pPr>
        <w:spacing w:after="90"/>
        <w:ind w:left="200" w:hanging="0"/>
      </w:pPr>
      <w:r>
        <w:rPr>
          <w:b/>
          <w:bCs/>
          <w:color w:val="8B0000"/>
        </w:rPr>
        <w:t xml:space="preserve">1791 – 1794 — </w:t>
      </w:r>
      <w:r>
        <w:t xml:space="preserve">Période d'un « clergé déchiré » entre serment, réfraction, émigration et déchristianisation.</w:t>
      </w:r>
      <w:r>
        <w:rPr>
          <w:i/>
          <w:iCs/>
          <w:color w:val="808080"/>
          <w:sz w:val="17"/>
          <w:szCs w:val="17"/>
        </w:rPr>
        <w:t xml:space="preserve">  [dossier « les cultes », doc. 3]</w:t>
      </w:r>
    </w:p>
    <w:p>
      <w:pPr>
        <w:pStyle w:val="Heading1"/>
        <w:pBdr>
          <w:bottom w:val="single" w:color="8B0000" w:sz="8" w:space="4"/>
        </w:pBdr>
        <w:spacing w:after="160" w:before="360"/>
      </w:pPr>
      <w:r>
        <w:rPr>
          <w:b/>
          <w:bCs/>
          <w:color w:val="8B0000"/>
          <w:sz w:val="30"/>
          <w:szCs w:val="30"/>
        </w:rPr>
        <w:t xml:space="preserve">IV. 1792 : la chute de la monarchie et la naissance de la République</w:t>
      </w:r>
    </w:p>
    <w:p>
      <w:pPr>
        <w:spacing w:after="90"/>
        <w:ind w:left="200" w:hanging="0"/>
      </w:pPr>
      <w:r>
        <w:rPr>
          <w:b/>
          <w:bCs/>
          <w:color w:val="8B0000"/>
        </w:rPr>
        <w:t xml:space="preserve">8 avril 1792 — </w:t>
      </w:r>
      <w:r>
        <w:t xml:space="preserve">Loi sur les émigrés qui sert de seconde borne à la définition des suspects en 1793.</w:t>
      </w:r>
      <w:r>
        <w:rPr>
          <w:i/>
          <w:iCs/>
          <w:color w:val="808080"/>
          <w:sz w:val="17"/>
          <w:szCs w:val="17"/>
        </w:rPr>
        <w:t xml:space="preserve">  [dossier « la Terreur », doc. 3]</w:t>
      </w:r>
    </w:p>
    <w:p>
      <w:pPr>
        <w:spacing w:after="90"/>
        <w:ind w:left="200" w:hanging="0"/>
      </w:pPr>
      <w:r>
        <w:rPr>
          <w:b/>
          <w:bCs/>
          <w:color w:val="8B0000"/>
        </w:rPr>
        <w:t xml:space="preserve">Avril 1792 — </w:t>
      </w:r>
      <w:r>
        <w:t xml:space="preserve">La France déclare la guerre à l'Autriche. Le roi espère qu'une intervention militaire autrichienne rétablira son pouvoir et favorise l'arrivée de ministres girondins favorables à la guerre. L'Autriche et la Prusse menacent d'intervenir pour libérer Louis XVI ; les défaites s'accumulent.</w:t>
      </w:r>
      <w:r>
        <w:rPr>
          <w:i/>
          <w:iCs/>
          <w:color w:val="808080"/>
          <w:sz w:val="17"/>
          <w:szCs w:val="17"/>
        </w:rPr>
        <w:t xml:space="preserve">  [cours]</w:t>
      </w:r>
    </w:p>
    <w:p>
      <w:pPr>
        <w:spacing w:after="90"/>
        <w:ind w:left="200" w:hanging="0"/>
      </w:pPr>
      <w:r>
        <w:rPr>
          <w:b/>
          <w:bCs/>
          <w:color w:val="8B0000"/>
        </w:rPr>
        <w:t xml:space="preserve">25 juillet 1792 — </w:t>
      </w:r>
      <w:r>
        <w:t xml:space="preserve">Manifeste de Brunswick : le duc de Brunswick, à la tête des troupes ennemies, menace Paris d'une « exécution militaire » et d'une « vengeance exemplaire » si la famille royale subit la moindre violence. Le texte a l'effet inverse de celui recherché et radicalise les Parisiens.</w:t>
      </w:r>
      <w:r>
        <w:rPr>
          <w:i/>
          <w:iCs/>
          <w:color w:val="808080"/>
          <w:sz w:val="17"/>
          <w:szCs w:val="17"/>
        </w:rPr>
        <w:t xml:space="preserve">  [cours + diaporama, diapo 23]</w:t>
      </w:r>
    </w:p>
    <w:p>
      <w:pPr>
        <w:spacing w:after="90"/>
        <w:ind w:left="200" w:hanging="0"/>
      </w:pPr>
      <w:r>
        <w:rPr>
          <w:b/>
          <w:bCs/>
          <w:color w:val="8B0000"/>
        </w:rPr>
        <w:t xml:space="preserve">10 août 1792 — </w:t>
      </w:r>
      <w:r>
        <w:t xml:space="preserve">Prise des Tuileries : le palais royal est envahi par le peuple parisien. Sous la pression populaire, l'Assemblée suspend le roi et décide l'élection d'une Convention au suffrage universel (masculin).</w:t>
      </w:r>
      <w:r>
        <w:rPr>
          <w:i/>
          <w:iCs/>
          <w:color w:val="808080"/>
          <w:sz w:val="17"/>
          <w:szCs w:val="17"/>
        </w:rPr>
        <w:t xml:space="preserve">  [cours + frise + diaporama, diapo 24 (tableau de Jean Duplessis-Bertaux)]</w:t>
      </w:r>
    </w:p>
    <w:p>
      <w:pPr>
        <w:spacing w:after="90"/>
        <w:ind w:left="200" w:hanging="0"/>
      </w:pPr>
      <w:r>
        <w:rPr>
          <w:b/>
          <w:bCs/>
          <w:color w:val="8B0000"/>
        </w:rPr>
        <w:t xml:space="preserve">Septembre 1792 — </w:t>
      </w:r>
      <w:r>
        <w:t xml:space="preserve">La Convention abolit la royauté et proclame la République : le transfert de souveraineté du roi à la nation est achevé. Le nouveau calendrier républicain débute en septembre 1792, pour marquer la rupture avec l'Ancien Régime. Ouverture du procès de Louis XVI.</w:t>
      </w:r>
      <w:r>
        <w:rPr>
          <w:i/>
          <w:iCs/>
          <w:color w:val="808080"/>
          <w:sz w:val="17"/>
          <w:szCs w:val="17"/>
        </w:rPr>
        <w:t xml:space="preserve">  [cours + frise + diaporama, diapos 32 et 37]</w:t>
      </w:r>
    </w:p>
    <w:p>
      <w:pPr>
        <w:spacing w:after="90"/>
        <w:ind w:left="200" w:hanging="0"/>
      </w:pPr>
      <w:r>
        <w:rPr>
          <w:b/>
          <w:bCs/>
          <w:color w:val="8B0000"/>
        </w:rPr>
        <w:t xml:space="preserve">Septembre 1792 – juin 1793 — </w:t>
      </w:r>
      <w:r>
        <w:t xml:space="preserve">La Convention nationale est divisée : les Girondins (droite, modérés, attachés aux principes de 1789 mais méfiants envers le peuple, dominants au début) ; les Montagnards (élus de Paris, proches des sans-culottes : Marat, Danton, Robespierre) ; la Plaine ou le Marais (majorité des députés, qui soutient tour à tour les deux tendances). Les sans-culottes soutiennent les Montagnards.</w:t>
      </w:r>
      <w:r>
        <w:rPr>
          <w:i/>
          <w:iCs/>
          <w:color w:val="808080"/>
          <w:sz w:val="17"/>
          <w:szCs w:val="17"/>
        </w:rPr>
        <w:t xml:space="preserve">  [cours + diaporama, diapo 25]</w:t>
      </w:r>
    </w:p>
    <w:p>
      <w:pPr>
        <w:spacing w:after="90"/>
        <w:ind w:left="200" w:hanging="0"/>
      </w:pPr>
      <w:r>
        <w:rPr>
          <w:b/>
          <w:bCs/>
          <w:color w:val="8B0000"/>
        </w:rPr>
        <w:t xml:space="preserve">9 septembre 1792 — </w:t>
      </w:r>
      <w:r>
        <w:t xml:space="preserve">Lettre de Madame Roland à Bancal des Issarts : « Vous connaissez mon enthousiasme pour la Révolution, eh bien, j'en ai honte ! Elle est ternie par des scélérats ! » Elle dénonce Marat et la radicalisation.</w:t>
      </w:r>
      <w:r>
        <w:rPr>
          <w:i/>
          <w:iCs/>
          <w:color w:val="808080"/>
          <w:sz w:val="17"/>
          <w:szCs w:val="17"/>
        </w:rPr>
        <w:t xml:space="preserve">  [dossier « Madame Roland », doc. 2]</w:t>
      </w:r>
    </w:p>
    <w:p>
      <w:pPr>
        <w:spacing w:after="90"/>
        <w:ind w:left="200" w:hanging="0"/>
      </w:pPr>
      <w:r>
        <w:rPr>
          <w:b/>
          <w:bCs/>
          <w:color w:val="8B0000"/>
        </w:rPr>
        <w:t xml:space="preserve">20 septembre 1792 — </w:t>
      </w:r>
      <w:r>
        <w:t xml:space="preserve">Victoire française de Valmy : elle renforce la Révolution et sauve la jeune République.</w:t>
      </w:r>
      <w:r>
        <w:rPr>
          <w:i/>
          <w:iCs/>
          <w:color w:val="808080"/>
          <w:sz w:val="17"/>
          <w:szCs w:val="17"/>
        </w:rPr>
        <w:t xml:space="preserve">  [cours + diaporama, diapo 36]</w:t>
      </w:r>
    </w:p>
    <w:p>
      <w:pPr>
        <w:spacing w:after="90"/>
        <w:ind w:left="200" w:hanging="0"/>
      </w:pPr>
      <w:r>
        <w:rPr>
          <w:b/>
          <w:bCs/>
          <w:color w:val="8B0000"/>
        </w:rPr>
        <w:t xml:space="preserve">1792 (autres batailles) — </w:t>
      </w:r>
      <w:r>
        <w:t xml:space="preserve">Jemmapes (victoire française) et Neerwinden (victoire des coalisés) figurent sur la carte des guerres révolutionnaires.</w:t>
      </w:r>
      <w:r>
        <w:rPr>
          <w:i/>
          <w:iCs/>
          <w:color w:val="808080"/>
          <w:sz w:val="17"/>
          <w:szCs w:val="17"/>
        </w:rPr>
        <w:t xml:space="preserve">  [diaporama, diapo 36]</w:t>
      </w:r>
    </w:p>
    <w:p>
      <w:pPr>
        <w:spacing w:after="90"/>
        <w:ind w:left="200" w:hanging="0"/>
      </w:pPr>
      <w:r>
        <w:rPr>
          <w:b/>
          <w:bCs/>
          <w:color w:val="8B0000"/>
        </w:rPr>
        <w:t xml:space="preserve">1792 (devise et symboles) — </w:t>
      </w:r>
      <w:r>
        <w:t xml:space="preserve">Adoption de la devise « Unité et indivisibilité de la République. Liberté, Égalité, Fraternité, ou la mort », accompagnée des allégories (la Liberté, Marianne), des cérémonies et des chants (La Marseillaise, « Chant de guerre pour l'armée du Rhin » de Rouget de Lisle ; La Carmagnole).</w:t>
      </w:r>
      <w:r>
        <w:rPr>
          <w:i/>
          <w:iCs/>
          <w:color w:val="808080"/>
          <w:sz w:val="17"/>
          <w:szCs w:val="17"/>
        </w:rPr>
        <w:t xml:space="preserve">  [cours + diaporama, diapo 31]</w:t>
      </w:r>
    </w:p>
    <w:p>
      <w:pPr>
        <w:spacing w:after="90"/>
        <w:ind w:left="200" w:hanging="0"/>
      </w:pPr>
      <w:r>
        <w:rPr>
          <w:b/>
          <w:bCs/>
          <w:color w:val="8B0000"/>
        </w:rPr>
        <w:t xml:space="preserve">25 décembre 1792 — </w:t>
      </w:r>
      <w:r>
        <w:t xml:space="preserve">Lettre de Madame Roland à Servan : elle évoque les « projets désastreux contre Louis », les menaces d'assassinat et les pamphlets de Marat contre elle.</w:t>
      </w:r>
      <w:r>
        <w:rPr>
          <w:i/>
          <w:iCs/>
          <w:color w:val="808080"/>
          <w:sz w:val="17"/>
          <w:szCs w:val="17"/>
        </w:rPr>
        <w:t xml:space="preserve">  [dossier « Madame Roland », doc. 2]</w:t>
      </w:r>
    </w:p>
    <w:p>
      <w:pPr>
        <w:pStyle w:val="Heading1"/>
        <w:pBdr>
          <w:bottom w:val="single" w:color="8B0000" w:sz="8" w:space="4"/>
        </w:pBdr>
        <w:spacing w:after="160" w:before="360"/>
      </w:pPr>
      <w:r>
        <w:rPr>
          <w:b/>
          <w:bCs/>
          <w:color w:val="8B0000"/>
          <w:sz w:val="30"/>
          <w:szCs w:val="30"/>
        </w:rPr>
        <w:t xml:space="preserve">V. 1793 : la République en guerre et la Terreur</w:t>
      </w:r>
    </w:p>
    <w:p>
      <w:pPr>
        <w:spacing w:after="90"/>
        <w:ind w:left="200" w:hanging="0"/>
      </w:pPr>
      <w:r>
        <w:rPr>
          <w:b/>
          <w:bCs/>
          <w:color w:val="8B0000"/>
        </w:rPr>
        <w:t xml:space="preserve">21 janvier 1793 — </w:t>
      </w:r>
      <w:r>
        <w:t xml:space="preserve">Exécution de Louis XVI, après le procès ouvert en septembre 1792.</w:t>
      </w:r>
      <w:r>
        <w:rPr>
          <w:i/>
          <w:iCs/>
          <w:color w:val="808080"/>
          <w:sz w:val="17"/>
          <w:szCs w:val="17"/>
        </w:rPr>
        <w:t xml:space="preserve">  [cours + frise + diaporama, diapo 37]</w:t>
      </w:r>
    </w:p>
    <w:p>
      <w:pPr>
        <w:spacing w:after="90"/>
        <w:ind w:left="200" w:hanging="0"/>
      </w:pPr>
      <w:r>
        <w:rPr>
          <w:b/>
          <w:bCs/>
          <w:color w:val="8B0000"/>
        </w:rPr>
        <w:t xml:space="preserve">Janvier 1793 — </w:t>
      </w:r>
      <w:r>
        <w:t xml:space="preserve">La guerre défensive se transforme en entreprise de conquête pour diffuser les idéaux révolutionnaires : la France s'empare de la Savoie et du comté de Nice, de la Belgique et de la Rhénanie.</w:t>
      </w:r>
      <w:r>
        <w:rPr>
          <w:i/>
          <w:iCs/>
          <w:color w:val="808080"/>
          <w:sz w:val="17"/>
          <w:szCs w:val="17"/>
        </w:rPr>
        <w:t xml:space="preserve">  [cours]</w:t>
      </w:r>
    </w:p>
    <w:p>
      <w:pPr>
        <w:spacing w:after="90"/>
        <w:ind w:left="200" w:hanging="0"/>
      </w:pPr>
      <w:r>
        <w:rPr>
          <w:b/>
          <w:bCs/>
          <w:color w:val="8B0000"/>
        </w:rPr>
        <w:t xml:space="preserve">Février 1793 — </w:t>
      </w:r>
      <w:r>
        <w:t xml:space="preserve">À la suite de l'exécution du roi, l'Angleterre déclare à son tour la guerre à la France : les monarchies européennes craignent la contagion révolutionnaire.</w:t>
      </w:r>
      <w:r>
        <w:rPr>
          <w:i/>
          <w:iCs/>
          <w:color w:val="808080"/>
          <w:sz w:val="17"/>
          <w:szCs w:val="17"/>
        </w:rPr>
        <w:t xml:space="preserve">  [cours]</w:t>
      </w:r>
    </w:p>
    <w:p>
      <w:pPr>
        <w:spacing w:after="90"/>
        <w:ind w:left="200" w:hanging="0"/>
      </w:pPr>
      <w:r>
        <w:rPr>
          <w:b/>
          <w:bCs/>
          <w:color w:val="8B0000"/>
        </w:rPr>
        <w:t xml:space="preserve">1793 (guerre civile) — </w:t>
      </w:r>
      <w:r>
        <w:t xml:space="preserve">Guerre civile en Vendée entre Républicains et Royalistes : les paysans (Chouans) refusent de rejoindre l'armée et se soulèvent au nom du roi. Insurrections fédéralistes à Caen, Bordeaux, Lyon, Marseille, Toulon.</w:t>
      </w:r>
      <w:r>
        <w:rPr>
          <w:i/>
          <w:iCs/>
          <w:color w:val="808080"/>
          <w:sz w:val="17"/>
          <w:szCs w:val="17"/>
        </w:rPr>
        <w:t xml:space="preserve">  [cours + diaporama, diapos 36 et 52]</w:t>
      </w:r>
    </w:p>
    <w:p>
      <w:pPr>
        <w:spacing w:after="90"/>
        <w:ind w:left="200" w:hanging="0"/>
      </w:pPr>
      <w:r>
        <w:rPr>
          <w:b/>
          <w:bCs/>
          <w:color w:val="8B0000"/>
        </w:rPr>
        <w:t xml:space="preserve">1793 (batailles) — </w:t>
      </w:r>
      <w:r>
        <w:t xml:space="preserve">Hondschoote, Wattignies, Geisberg (victoires françaises) et Toulon, repris aux coalisés. La France est attaquée par les Anglais, les Prussiens, les Autrichiens, les Espagnols et les Sardes.</w:t>
      </w:r>
      <w:r>
        <w:rPr>
          <w:i/>
          <w:iCs/>
          <w:color w:val="808080"/>
          <w:sz w:val="17"/>
          <w:szCs w:val="17"/>
        </w:rPr>
        <w:t xml:space="preserve">  [diaporama, diapos 36 et 52]</w:t>
      </w:r>
    </w:p>
    <w:p>
      <w:pPr>
        <w:spacing w:after="90"/>
        <w:ind w:left="200" w:hanging="0"/>
      </w:pPr>
      <w:r>
        <w:rPr>
          <w:b/>
          <w:bCs/>
          <w:color w:val="8B0000"/>
        </w:rPr>
        <w:t xml:space="preserve">Juin 1793 — </w:t>
      </w:r>
      <w:r>
        <w:t xml:space="preserve">Poussée par les sans-culottes, la Convention fait arrêter les dirigeants Girondins et donne le pouvoir aux Montagnards.</w:t>
      </w:r>
      <w:r>
        <w:rPr>
          <w:i/>
          <w:iCs/>
          <w:color w:val="808080"/>
          <w:sz w:val="17"/>
          <w:szCs w:val="17"/>
        </w:rPr>
        <w:t xml:space="preserve">  [dossier « la Terreur », introduction]</w:t>
      </w:r>
    </w:p>
    <w:p>
      <w:pPr>
        <w:spacing w:after="90"/>
        <w:ind w:left="200" w:hanging="0"/>
      </w:pPr>
      <w:r>
        <w:rPr>
          <w:b/>
          <w:bCs/>
          <w:color w:val="8B0000"/>
        </w:rPr>
        <w:t xml:space="preserve">2 juin 1793 — </w:t>
      </w:r>
      <w:r>
        <w:t xml:space="preserve">Soulèvement parisien et arrestation des députés girondins : date précise de la bascule de la Convention.</w:t>
      </w:r>
      <w:r>
        <w:rPr>
          <w:i/>
          <w:iCs/>
          <w:color w:val="808080"/>
          <w:sz w:val="17"/>
          <w:szCs w:val="17"/>
        </w:rPr>
        <w:t xml:space="preserve">  [diaporama, diapo 25]</w:t>
      </w:r>
    </w:p>
    <w:p>
      <w:pPr>
        <w:spacing w:after="90"/>
        <w:ind w:left="200" w:hanging="0"/>
      </w:pPr>
      <w:r>
        <w:rPr>
          <w:b/>
          <w:bCs/>
          <w:color w:val="8B0000"/>
        </w:rPr>
        <w:t xml:space="preserve">23 août 1793 — </w:t>
      </w:r>
      <w:r>
        <w:t xml:space="preserve">Décret sur la levée en masse : tous les Français sont « en état de réquisition permanente ». Les célibataires de 18 à 25 ans au combat, les hommes mariés aux armes et aux subsistances, les femmes aux tentes, aux habits et aux hôpitaux, les enfants à la charpie, les vieillards sur les places publiques pour exciter le courage.</w:t>
      </w:r>
      <w:r>
        <w:rPr>
          <w:i/>
          <w:iCs/>
          <w:color w:val="808080"/>
          <w:sz w:val="17"/>
          <w:szCs w:val="17"/>
        </w:rPr>
        <w:t xml:space="preserve">  [dossier « la Terreur », doc. 4]</w:t>
      </w:r>
    </w:p>
    <w:p>
      <w:pPr>
        <w:spacing w:after="90"/>
        <w:ind w:left="200" w:hanging="0"/>
      </w:pPr>
      <w:r>
        <w:rPr>
          <w:b/>
          <w:bCs/>
          <w:color w:val="8B0000"/>
        </w:rPr>
        <w:t xml:space="preserve">17 septembre 1793 — </w:t>
      </w:r>
      <w:r>
        <w:t xml:space="preserve">Loi (décret) des suspects : arrestation immédiate de tous les « gens suspects » — partisans de la tyrannie ou du fédéralisme, personnes sans certificat de civisme, fonctionnaires destitués, ci-devant nobles et parents d'émigrés, émigrés rentrés. C'est l'instrument juridique de la Terreur.</w:t>
      </w:r>
      <w:r>
        <w:rPr>
          <w:i/>
          <w:iCs/>
          <w:color w:val="808080"/>
          <w:sz w:val="17"/>
          <w:szCs w:val="17"/>
        </w:rPr>
        <w:t xml:space="preserve">  [dossier « la Terreur », doc. 3]</w:t>
      </w:r>
    </w:p>
    <w:p>
      <w:pPr>
        <w:spacing w:after="90"/>
        <w:ind w:left="200" w:hanging="0"/>
      </w:pPr>
      <w:r>
        <w:rPr>
          <w:b/>
          <w:bCs/>
          <w:color w:val="8B0000"/>
        </w:rPr>
        <w:t xml:space="preserve">Octobre 1793 — </w:t>
      </w:r>
      <w:r>
        <w:t xml:space="preserve">Profanation des tombes royales : « La violation des caveaux des rois dans la basilique de Saint-Denis » (Hubert Robert, huile sur toile, musée Carnavalet).</w:t>
      </w:r>
      <w:r>
        <w:rPr>
          <w:i/>
          <w:iCs/>
          <w:color w:val="808080"/>
          <w:sz w:val="17"/>
          <w:szCs w:val="17"/>
        </w:rPr>
        <w:t xml:space="preserve">  [dossier « les cultes », doc. 8]</w:t>
      </w:r>
    </w:p>
    <w:p>
      <w:pPr>
        <w:spacing w:after="90"/>
        <w:ind w:left="200" w:hanging="0"/>
      </w:pPr>
      <w:r>
        <w:rPr>
          <w:b/>
          <w:bCs/>
          <w:color w:val="8B0000"/>
        </w:rPr>
        <w:t xml:space="preserve">12 octobre 1793 — </w:t>
      </w:r>
      <w:r>
        <w:t xml:space="preserve">Décret de la Convention sur la répression de Lyon : commission extraordinaire de 5 membres, désarmement des habitants, destruction de la ville, effacement du nom de Lyon remplacé par « Ville-Affranchie », colonne portant l'inscription « Lyon fit la guerre à la Liberté ; Lyon n'est plus ».</w:t>
      </w:r>
      <w:r>
        <w:rPr>
          <w:i/>
          <w:iCs/>
          <w:color w:val="808080"/>
          <w:sz w:val="17"/>
          <w:szCs w:val="17"/>
        </w:rPr>
        <w:t xml:space="preserve">  [dossier « la Terreur », doc. 7]</w:t>
      </w:r>
    </w:p>
    <w:p>
      <w:pPr>
        <w:spacing w:after="90"/>
        <w:ind w:left="200" w:hanging="0"/>
      </w:pPr>
      <w:r>
        <w:rPr>
          <w:b/>
          <w:bCs/>
          <w:color w:val="8B0000"/>
        </w:rPr>
        <w:t xml:space="preserve">17 novembre 1793 — </w:t>
      </w:r>
      <w:r>
        <w:t xml:space="preserve">Article de la Gazette nationale « Aux républicaines » : après l'exécution d'Olympe de Gouges et de Madame Roland, il somme les femmes d'être « simples dans leur mise, laborieuses dans leur ménage » et de ne jamais parler dans les assemblées populaires. La Révolution se referme sur les femmes.</w:t>
      </w:r>
      <w:r>
        <w:rPr>
          <w:i/>
          <w:iCs/>
          <w:color w:val="808080"/>
          <w:sz w:val="17"/>
          <w:szCs w:val="17"/>
        </w:rPr>
        <w:t xml:space="preserve">  [dossier « Madame Roland », doc. 5]</w:t>
      </w:r>
    </w:p>
    <w:p>
      <w:pPr>
        <w:spacing w:after="90"/>
        <w:ind w:left="200" w:hanging="0"/>
      </w:pPr>
      <w:r>
        <w:rPr>
          <w:b/>
          <w:bCs/>
          <w:color w:val="8B0000"/>
        </w:rPr>
        <w:t xml:space="preserve">1793 (Madame Roland) — </w:t>
      </w:r>
      <w:r>
        <w:t xml:space="preserve">Madame Roland comparaît devant le Tribunal révolutionnaire, puis est exécutée. Ses Mémoires particuliers datent de 1793.</w:t>
      </w:r>
      <w:r>
        <w:rPr>
          <w:i/>
          <w:iCs/>
          <w:color w:val="808080"/>
          <w:sz w:val="17"/>
          <w:szCs w:val="17"/>
        </w:rPr>
        <w:t xml:space="preserve">  [frise + dossier « Madame Roland », doc. 4]</w:t>
      </w:r>
    </w:p>
    <w:p>
      <w:pPr>
        <w:spacing w:after="90"/>
        <w:ind w:left="200" w:hanging="0"/>
      </w:pPr>
      <w:r>
        <w:rPr>
          <w:b/>
          <w:bCs/>
          <w:color w:val="8B0000"/>
        </w:rPr>
        <w:t xml:space="preserve">25 décembre 1793 — </w:t>
      </w:r>
      <w:r>
        <w:t xml:space="preserve">Grand charivari déchristianisateur à Saint-Étienne, rebaptisée Arme-Commune, organisé par Dorfeuille : « la raison sera le prêtre, le soleil le flambeau et la municipalité le notaire ». Un ex-prêtre figure le fanatisme, une jeune fille en blanc la Raison, brandissant la table des droits de l'homme. Récit dans la lettre de Dorfeuille du 12 nivôse an II.</w:t>
      </w:r>
      <w:r>
        <w:rPr>
          <w:i/>
          <w:iCs/>
          <w:color w:val="808080"/>
          <w:sz w:val="17"/>
          <w:szCs w:val="17"/>
        </w:rPr>
        <w:t xml:space="preserve">  [dossier « les cultes », doc. 7]</w:t>
      </w:r>
    </w:p>
    <w:p>
      <w:pPr>
        <w:spacing w:after="90"/>
        <w:ind w:left="200" w:hanging="0"/>
      </w:pPr>
      <w:r>
        <w:rPr>
          <w:b/>
          <w:bCs/>
          <w:color w:val="8B0000"/>
        </w:rPr>
        <w:t xml:space="preserve">1793 – 1794 — </w:t>
      </w:r>
      <w:r>
        <w:t xml:space="preserve">La Terreur : gouvernement révolutionnaire fondé sur la Convention, le Comité de salut public, le Comité de sûreté générale (police), le Tribunal révolutionnaire et les représentants en mission, sous la pression des sans-culottes et du club des Jacobins. Estampe d'après Jean-Baptiste Huet, « Comité de l'an deuxième », vers 1793-1794 : un homme présente son certificat de civisme.</w:t>
      </w:r>
      <w:r>
        <w:rPr>
          <w:i/>
          <w:iCs/>
          <w:color w:val="808080"/>
          <w:sz w:val="17"/>
          <w:szCs w:val="17"/>
        </w:rPr>
        <w:t xml:space="preserve">  [frise + cours + dossier « la Terreur », doc. 5 + diaporama, diapo 38]</w:t>
      </w:r>
    </w:p>
    <w:p>
      <w:pPr>
        <w:spacing w:after="90"/>
        <w:ind w:left="200" w:hanging="0"/>
      </w:pPr>
      <w:r>
        <w:rPr>
          <w:b/>
          <w:bCs/>
          <w:color w:val="8B0000"/>
        </w:rPr>
        <w:t xml:space="preserve">1793 – 1796 — </w:t>
      </w:r>
      <w:r>
        <w:t xml:space="preserve">Échec de trois projets successifs de Code civil.</w:t>
      </w:r>
      <w:r>
        <w:rPr>
          <w:i/>
          <w:iCs/>
          <w:color w:val="808080"/>
          <w:sz w:val="17"/>
          <w:szCs w:val="17"/>
        </w:rPr>
        <w:t xml:space="preserve">  [diaporama, diapo 46]</w:t>
      </w:r>
    </w:p>
    <w:p>
      <w:pPr>
        <w:spacing w:after="90"/>
        <w:ind w:left="200" w:hanging="0"/>
      </w:pPr>
      <w:r>
        <w:rPr>
          <w:b/>
          <w:bCs/>
          <w:color w:val="8B0000"/>
        </w:rPr>
        <w:t xml:space="preserve">1793 – 1799 — </w:t>
      </w:r>
      <w:r>
        <w:t xml:space="preserve">« La République dans la tourmente » : menaces extérieures (coalitions britannique, hollandaise, prussienne, autrichienne, espagnole) et intérieures (insurrections fédéralistes, Vendée, Corse), création des Républiques sœurs (batave, helvétique, cisalpine, ligurienne, romaine, parthénopéenne).</w:t>
      </w:r>
      <w:r>
        <w:rPr>
          <w:i/>
          <w:iCs/>
          <w:color w:val="808080"/>
          <w:sz w:val="17"/>
          <w:szCs w:val="17"/>
        </w:rPr>
        <w:t xml:space="preserve">  [diaporama, diapo 52 – Magnard p. 18]</w:t>
      </w:r>
    </w:p>
    <w:p>
      <w:pPr>
        <w:pStyle w:val="Heading1"/>
        <w:pBdr>
          <w:bottom w:val="single" w:color="8B0000" w:sz="8" w:space="4"/>
        </w:pBdr>
        <w:spacing w:after="160" w:before="360"/>
      </w:pPr>
      <w:r>
        <w:rPr>
          <w:b/>
          <w:bCs/>
          <w:color w:val="8B0000"/>
          <w:sz w:val="30"/>
          <w:szCs w:val="30"/>
        </w:rPr>
        <w:t xml:space="preserve">VI. 1794 : apogée et chute de la Terreur</w:t>
      </w:r>
    </w:p>
    <w:p>
      <w:pPr>
        <w:spacing w:after="90"/>
        <w:ind w:left="200" w:hanging="0"/>
      </w:pPr>
      <w:r>
        <w:rPr>
          <w:b/>
          <w:bCs/>
          <w:color w:val="8B0000"/>
        </w:rPr>
        <w:t xml:space="preserve">5 février 1794 — </w:t>
      </w:r>
      <w:r>
        <w:t xml:space="preserve">Discours de Robespierre : « Pour fonder et pour consolider parmi nous la démocratie […] il faut étouffer les ennemis intérieurs et extérieurs de la République, ou périr avec elle. […] Il n'y a de citoyens dans la République que les républicains. » Justification théorique de la Terreur.</w:t>
      </w:r>
      <w:r>
        <w:rPr>
          <w:i/>
          <w:iCs/>
          <w:color w:val="808080"/>
          <w:sz w:val="17"/>
          <w:szCs w:val="17"/>
        </w:rPr>
        <w:t xml:space="preserve">  [dossier « la Terreur », doc. 2]</w:t>
      </w:r>
    </w:p>
    <w:p>
      <w:pPr>
        <w:spacing w:after="90"/>
        <w:ind w:left="200" w:hanging="0"/>
      </w:pPr>
      <w:r>
        <w:rPr>
          <w:b/>
          <w:bCs/>
          <w:color w:val="8B0000"/>
        </w:rPr>
        <w:t xml:space="preserve">1794 (Fleurus) — </w:t>
      </w:r>
      <w:r>
        <w:t xml:space="preserve">Victoire française de Fleurus, qui écarte définitivement la menace d'invasion.</w:t>
      </w:r>
      <w:r>
        <w:rPr>
          <w:i/>
          <w:iCs/>
          <w:color w:val="808080"/>
          <w:sz w:val="17"/>
          <w:szCs w:val="17"/>
        </w:rPr>
        <w:t xml:space="preserve">  [diaporama, diapo 36]</w:t>
      </w:r>
    </w:p>
    <w:p>
      <w:pPr>
        <w:spacing w:after="90"/>
        <w:ind w:left="200" w:hanging="0"/>
      </w:pPr>
      <w:r>
        <w:rPr>
          <w:b/>
          <w:bCs/>
          <w:color w:val="8B0000"/>
        </w:rPr>
        <w:t xml:space="preserve">1794 (Être suprême) — </w:t>
      </w:r>
      <w:r>
        <w:t xml:space="preserve">Culte de l'Être suprême : estampe anonyme « Être suprême. Peuple souverain. République française ». Tentative de religion civique après la déchristianisation.</w:t>
      </w:r>
      <w:r>
        <w:rPr>
          <w:i/>
          <w:iCs/>
          <w:color w:val="808080"/>
          <w:sz w:val="17"/>
          <w:szCs w:val="17"/>
        </w:rPr>
        <w:t xml:space="preserve">  [dossier « les cultes », doc. 6]</w:t>
      </w:r>
    </w:p>
    <w:p>
      <w:pPr>
        <w:spacing w:after="90"/>
        <w:ind w:left="200" w:hanging="0"/>
      </w:pPr>
      <w:r>
        <w:rPr>
          <w:b/>
          <w:bCs/>
          <w:color w:val="8B0000"/>
        </w:rPr>
        <w:t xml:space="preserve">Printemps 1794 — </w:t>
      </w:r>
      <w:r>
        <w:t xml:space="preserve">Reprise des conquêtes à l'extérieur : les succès militaires entraînent la création de Républiques sœurs (Italie, Belgique, Pays-Bas), contraintes de participer à l'effort de guerre.</w:t>
      </w:r>
      <w:r>
        <w:rPr>
          <w:i/>
          <w:iCs/>
          <w:color w:val="808080"/>
          <w:sz w:val="17"/>
          <w:szCs w:val="17"/>
        </w:rPr>
        <w:t xml:space="preserve">  [cours]</w:t>
      </w:r>
    </w:p>
    <w:p>
      <w:pPr>
        <w:spacing w:after="90"/>
        <w:ind w:left="200" w:hanging="0"/>
      </w:pPr>
      <w:r>
        <w:rPr>
          <w:b/>
          <w:bCs/>
          <w:color w:val="8B0000"/>
        </w:rPr>
        <w:t xml:space="preserve">Nuit du 9 au 10 thermidor an II (juillet 1794) — </w:t>
      </w:r>
      <w:r>
        <w:t xml:space="preserve">Chute de Robespierre : gravure coloriée de Tassaert d'après Harriet (musée Carnavalet, vers 1796). La caricature « Robespierre guillotinant le bourreau après avoir fait guillotiner tous les Français » résume la mémoire noire de la Terreur.</w:t>
      </w:r>
      <w:r>
        <w:rPr>
          <w:i/>
          <w:iCs/>
          <w:color w:val="808080"/>
          <w:sz w:val="17"/>
          <w:szCs w:val="17"/>
        </w:rPr>
        <w:t xml:space="preserve">  [dossier « la Terreur », doc. 6 et 8]</w:t>
      </w:r>
    </w:p>
    <w:p>
      <w:pPr>
        <w:spacing w:after="90"/>
        <w:ind w:left="200" w:hanging="0"/>
      </w:pPr>
      <w:r>
        <w:rPr>
          <w:b/>
          <w:bCs/>
          <w:color w:val="8B0000"/>
        </w:rPr>
        <w:t xml:space="preserve">Après thermidor — </w:t>
      </w:r>
      <w:r>
        <w:t xml:space="preserve">Les Républicains modérés restaurent une stabilité momentanée : abrogation de la loi des suspects et fermeture du club des Jacobins qui soutenait Robespierre.</w:t>
      </w:r>
      <w:r>
        <w:rPr>
          <w:i/>
          <w:iCs/>
          <w:color w:val="808080"/>
          <w:sz w:val="17"/>
          <w:szCs w:val="17"/>
        </w:rPr>
        <w:t xml:space="preserve">  [cours]</w:t>
      </w:r>
    </w:p>
    <w:p>
      <w:pPr>
        <w:pStyle w:val="Heading1"/>
        <w:pBdr>
          <w:bottom w:val="single" w:color="8B0000" w:sz="8" w:space="4"/>
        </w:pBdr>
        <w:spacing w:after="160" w:before="360"/>
      </w:pPr>
      <w:r>
        <w:rPr>
          <w:b/>
          <w:bCs/>
          <w:color w:val="8B0000"/>
          <w:sz w:val="30"/>
          <w:szCs w:val="30"/>
        </w:rPr>
        <w:t xml:space="preserve">VII. 1795 – 1799 : le Directoire</w:t>
      </w:r>
    </w:p>
    <w:p>
      <w:pPr>
        <w:spacing w:after="90"/>
        <w:ind w:left="200" w:hanging="0"/>
      </w:pPr>
      <w:r>
        <w:rPr>
          <w:b/>
          <w:bCs/>
          <w:color w:val="8B0000"/>
        </w:rPr>
        <w:t xml:space="preserve">Avril – mai 1795 — </w:t>
      </w:r>
      <w:r>
        <w:t xml:space="preserve">Insurrections populaires : une crise économique entraîne le retour des inégalités et des révoltes.</w:t>
      </w:r>
      <w:r>
        <w:rPr>
          <w:i/>
          <w:iCs/>
          <w:color w:val="808080"/>
          <w:sz w:val="17"/>
          <w:szCs w:val="17"/>
        </w:rPr>
        <w:t xml:space="preserve">  [cours]</w:t>
      </w:r>
    </w:p>
    <w:p>
      <w:pPr>
        <w:spacing w:after="90"/>
        <w:ind w:left="200" w:hanging="0"/>
      </w:pPr>
      <w:r>
        <w:rPr>
          <w:b/>
          <w:bCs/>
          <w:color w:val="8B0000"/>
        </w:rPr>
        <w:t xml:space="preserve">Septembre 1795 — </w:t>
      </w:r>
      <w:r>
        <w:t xml:space="preserve">Nouvelle Constitution : création du Directoire. Le pouvoir exécutif appartient à 5 directeurs (un renouvelé chaque année) qui désignent les ministres ; le pouvoir législatif est partagé entre le Conseil des Anciens (250 députés de plus de 40 ans, qui votent les lois) et le Conseil des Cinq-Cents (500 députés de plus de 30 ans, qui ont l'initiative des lois). 30 000 électeurs propriétaires fonciers, élus par 6 millions de citoyens actifs payant l'impôt ; 1 million de citoyens passifs, femmes et enfants restent exclus.</w:t>
      </w:r>
      <w:r>
        <w:rPr>
          <w:i/>
          <w:iCs/>
          <w:color w:val="808080"/>
          <w:sz w:val="17"/>
          <w:szCs w:val="17"/>
        </w:rPr>
        <w:t xml:space="preserve">  [cours + schéma du cours + diaporama, diapo 41]</w:t>
      </w:r>
    </w:p>
    <w:p>
      <w:pPr>
        <w:spacing w:after="90"/>
        <w:ind w:left="200" w:hanging="0"/>
      </w:pPr>
      <w:r>
        <w:rPr>
          <w:b/>
          <w:bCs/>
          <w:color w:val="8B0000"/>
        </w:rPr>
        <w:t xml:space="preserve">1795 – 1799 — </w:t>
      </w:r>
      <w:r>
        <w:t xml:space="preserve">Durée du Directoire : régime affaibli par les crises économiques et par des élections fréquentes qui redonnent du poids aux royalistes et aux jacobins.</w:t>
      </w:r>
      <w:r>
        <w:rPr>
          <w:i/>
          <w:iCs/>
          <w:color w:val="808080"/>
          <w:sz w:val="17"/>
          <w:szCs w:val="17"/>
        </w:rPr>
        <w:t xml:space="preserve">  [frise + cours]</w:t>
      </w:r>
    </w:p>
    <w:p>
      <w:pPr>
        <w:spacing w:after="90"/>
        <w:ind w:left="200" w:hanging="0"/>
      </w:pPr>
      <w:r>
        <w:rPr>
          <w:b/>
          <w:bCs/>
          <w:color w:val="8B0000"/>
        </w:rPr>
        <w:t xml:space="preserve">1798 — </w:t>
      </w:r>
      <w:r>
        <w:t xml:space="preserve">Loi Jourdan : instauration du service militaire obligatoire.</w:t>
      </w:r>
      <w:r>
        <w:rPr>
          <w:i/>
          <w:iCs/>
          <w:color w:val="808080"/>
          <w:sz w:val="17"/>
          <w:szCs w:val="17"/>
        </w:rPr>
        <w:t xml:space="preserve">  [cours]</w:t>
      </w:r>
    </w:p>
    <w:p>
      <w:pPr>
        <w:spacing w:after="90"/>
        <w:ind w:left="200" w:hanging="0"/>
      </w:pPr>
      <w:r>
        <w:rPr>
          <w:b/>
          <w:bCs/>
          <w:color w:val="8B0000"/>
        </w:rPr>
        <w:t xml:space="preserve">« 1788 » dans le cours — </w:t>
      </w:r>
      <w:r>
        <w:t xml:space="preserve">Le cours écrit : « Face à cette évolution, les élections sont annulées en 1788. » Chronologiquement, cela ne peut concerner que le Directoire : il s'agit très probablement d'une coquille pour 1798. À vérifier auprès de ton professeur — ne recopie pas 1788 sans le signaler.</w:t>
      </w:r>
      <w:r>
        <w:rPr>
          <w:i/>
          <w:iCs/>
          <w:color w:val="808080"/>
          <w:sz w:val="17"/>
          <w:szCs w:val="17"/>
        </w:rPr>
        <w:t xml:space="preserve">  [cours (point de vigilance)]</w:t>
      </w:r>
    </w:p>
    <w:p>
      <w:pPr>
        <w:spacing w:after="90"/>
        <w:ind w:left="200" w:hanging="0"/>
      </w:pPr>
      <w:r>
        <w:rPr>
          <w:b/>
          <w:bCs/>
          <w:color w:val="8B0000"/>
        </w:rPr>
        <w:t xml:space="preserve">1799 — </w:t>
      </w:r>
      <w:r>
        <w:t xml:space="preserve">Sieyès, élu Directeur, cherche un homme fort pour imposer une réforme de la Constitution.</w:t>
      </w:r>
      <w:r>
        <w:rPr>
          <w:i/>
          <w:iCs/>
          <w:color w:val="808080"/>
          <w:sz w:val="17"/>
          <w:szCs w:val="17"/>
        </w:rPr>
        <w:t xml:space="preserve">  [cours]</w:t>
      </w:r>
    </w:p>
    <w:p>
      <w:pPr>
        <w:spacing w:after="90"/>
        <w:ind w:left="200" w:hanging="0"/>
      </w:pPr>
      <w:r>
        <w:rPr>
          <w:b/>
          <w:bCs/>
          <w:color w:val="8B0000"/>
        </w:rPr>
        <w:t xml:space="preserve">9 novembre 1799 (18 brumaire an VIII) — </w:t>
      </w:r>
      <w:r>
        <w:t xml:space="preserve">Coup d'État du général Bonaparte, fort de ses succès militaires, qui se pose en sauveur de la République. Le tableau de François Bouchot (1840, château de Versailles) représente « le général Bonaparte au Conseil des Cinq-Cents, à Saint-Cloud, 10 novembre 1799 » : la journée se prolonge sur le 19 brumaire.</w:t>
      </w:r>
      <w:r>
        <w:rPr>
          <w:i/>
          <w:iCs/>
          <w:color w:val="808080"/>
          <w:sz w:val="17"/>
          <w:szCs w:val="17"/>
        </w:rPr>
        <w:t xml:space="preserve">  [cours + frise (novembre 1799) + diaporama, diapo 42]</w:t>
      </w:r>
    </w:p>
    <w:p>
      <w:pPr>
        <w:spacing w:after="90"/>
        <w:ind w:left="200" w:hanging="0"/>
      </w:pPr>
      <w:r>
        <w:rPr>
          <w:b/>
          <w:bCs/>
          <w:color w:val="8B0000"/>
        </w:rPr>
        <w:t xml:space="preserve">1799 — </w:t>
      </w:r>
      <w:r>
        <w:t xml:space="preserve">Établissement du Consulat.</w:t>
      </w:r>
      <w:r>
        <w:rPr>
          <w:i/>
          <w:iCs/>
          <w:color w:val="808080"/>
          <w:sz w:val="17"/>
          <w:szCs w:val="17"/>
        </w:rPr>
        <w:t xml:space="preserve">  [cours + diaporama, diapo 42]</w:t>
      </w:r>
    </w:p>
    <w:p>
      <w:pPr>
        <w:pStyle w:val="Heading1"/>
        <w:pBdr>
          <w:bottom w:val="single" w:color="8B0000" w:sz="8" w:space="4"/>
        </w:pBdr>
        <w:spacing w:after="160" w:before="360"/>
      </w:pPr>
      <w:r>
        <w:rPr>
          <w:b/>
          <w:bCs/>
          <w:color w:val="8B0000"/>
          <w:sz w:val="30"/>
          <w:szCs w:val="30"/>
        </w:rPr>
        <w:t xml:space="preserve">VIII. 1799 – 1804 : le Consulat</w:t>
      </w:r>
    </w:p>
    <w:p>
      <w:pPr>
        <w:spacing w:after="90"/>
        <w:ind w:left="200" w:hanging="0"/>
      </w:pPr>
      <w:r>
        <w:rPr>
          <w:b/>
          <w:bCs/>
          <w:color w:val="8B0000"/>
        </w:rPr>
        <w:t xml:space="preserve">1799 – 1804 — </w:t>
      </w:r>
      <w:r>
        <w:t xml:space="preserve">Le Consulat : le Premier Consul a l'initiative des lois et nomme le Conseil d'État (qui rédige les lois) et le Sénat (qui vérifie les lois) ; le Sénat choisit parmi les notabilités nationales les membres du Tribunat (qui discute les lois sans les voter) et du Corps législatif (qui vote les lois sans les discuter). Le suffrage universel masculin n'élit que des listes de notabilités communales, départementales puis nationales, et le Premier Consul consulte le peuple par plébiscite. Les femmes en sont exclues.</w:t>
      </w:r>
      <w:r>
        <w:rPr>
          <w:i/>
          <w:iCs/>
          <w:color w:val="808080"/>
          <w:sz w:val="17"/>
          <w:szCs w:val="17"/>
        </w:rPr>
        <w:t xml:space="preserve">  [cours + schéma du cours + diaporama, diapo 42]</w:t>
      </w:r>
    </w:p>
    <w:p>
      <w:pPr>
        <w:spacing w:after="90"/>
        <w:ind w:left="200" w:hanging="0"/>
      </w:pPr>
      <w:r>
        <w:rPr>
          <w:b/>
          <w:bCs/>
          <w:color w:val="8B0000"/>
        </w:rPr>
        <w:t xml:space="preserve">1800 — </w:t>
      </w:r>
      <w:r>
        <w:t xml:space="preserve">La liberté de la presse est supprimée ; une police politique surveille l'opposition.</w:t>
      </w:r>
      <w:r>
        <w:rPr>
          <w:i/>
          <w:iCs/>
          <w:color w:val="808080"/>
          <w:sz w:val="17"/>
          <w:szCs w:val="17"/>
        </w:rPr>
        <w:t xml:space="preserve">  [cours]</w:t>
      </w:r>
    </w:p>
    <w:p>
      <w:pPr>
        <w:spacing w:after="90"/>
        <w:ind w:left="200" w:hanging="0"/>
      </w:pPr>
      <w:r>
        <w:rPr>
          <w:b/>
          <w:bCs/>
          <w:color w:val="8B0000"/>
        </w:rPr>
        <w:t xml:space="preserve">15 juillet 1801 — </w:t>
      </w:r>
      <w:r>
        <w:t xml:space="preserve">Signature du Concordat avec le pape Pie VII pour réconcilier l'État avec les catholiques. Napoléon rappelle également les nobles émigrés et leur offre des postes dans l'administration.</w:t>
      </w:r>
      <w:r>
        <w:rPr>
          <w:i/>
          <w:iCs/>
          <w:color w:val="808080"/>
          <w:sz w:val="17"/>
          <w:szCs w:val="17"/>
        </w:rPr>
        <w:t xml:space="preserve">  [cours + frise (juillet 1801) + diaporama, diapo 49]</w:t>
      </w:r>
    </w:p>
    <w:p>
      <w:pPr>
        <w:spacing w:after="90"/>
        <w:ind w:left="200" w:hanging="0"/>
      </w:pPr>
      <w:r>
        <w:rPr>
          <w:b/>
          <w:bCs/>
          <w:color w:val="8B0000"/>
        </w:rPr>
        <w:t xml:space="preserve">1801 (Portalis) — </w:t>
      </w:r>
      <w:r>
        <w:t xml:space="preserve">Discours préliminaire du premier projet de Code civil de Portalis : « Depuis la Révolution, la législation française a subi, sur des points importants, des changements considérables. Faut-il écarter tout ce qui est nouveau ? Faut-il dédaigner tout ce qui est ancien ? »</w:t>
      </w:r>
      <w:r>
        <w:rPr>
          <w:i/>
          <w:iCs/>
          <w:color w:val="808080"/>
          <w:sz w:val="17"/>
          <w:szCs w:val="17"/>
        </w:rPr>
        <w:t xml:space="preserve">  [diaporama, diapo 46]</w:t>
      </w:r>
    </w:p>
    <w:p>
      <w:pPr>
        <w:spacing w:after="90"/>
        <w:ind w:left="200" w:hanging="0"/>
      </w:pPr>
      <w:r>
        <w:rPr>
          <w:b/>
          <w:bCs/>
          <w:color w:val="8B0000"/>
        </w:rPr>
        <w:t xml:space="preserve">1802 — </w:t>
      </w:r>
      <w:r>
        <w:t xml:space="preserve">Bonaparte se fait nommer Consul à vie par plébiscite. Création des lycées, destinés à former des fonctionnaires efficaces et obéissants, futurs cadres de la Nation.</w:t>
      </w:r>
      <w:r>
        <w:rPr>
          <w:i/>
          <w:iCs/>
          <w:color w:val="808080"/>
          <w:sz w:val="17"/>
          <w:szCs w:val="17"/>
        </w:rPr>
        <w:t xml:space="preserve">  [cours + diaporama, diapo 48]</w:t>
      </w:r>
    </w:p>
    <w:p>
      <w:pPr>
        <w:spacing w:after="90"/>
        <w:ind w:left="200" w:hanging="0"/>
      </w:pPr>
      <w:r>
        <w:rPr>
          <w:b/>
          <w:bCs/>
          <w:color w:val="8B0000"/>
        </w:rPr>
        <w:t xml:space="preserve">1803 — </w:t>
      </w:r>
      <w:r>
        <w:t xml:space="preserve">Stabilisation de la valeur du franc germinal (la Banque de France, créée sous le Consulat, a le monopole de l'émission de la monnaie de papier). Instauration du livret ouvrier obligatoire, outil de contrôle du peuple.</w:t>
      </w:r>
      <w:r>
        <w:rPr>
          <w:i/>
          <w:iCs/>
          <w:color w:val="808080"/>
          <w:sz w:val="17"/>
          <w:szCs w:val="17"/>
        </w:rPr>
        <w:t xml:space="preserve">  [cours]</w:t>
      </w:r>
    </w:p>
    <w:p>
      <w:pPr>
        <w:pStyle w:val="Heading1"/>
        <w:pBdr>
          <w:bottom w:val="single" w:color="8B0000" w:sz="8" w:space="4"/>
        </w:pBdr>
        <w:spacing w:after="160" w:before="360"/>
      </w:pPr>
      <w:r>
        <w:rPr>
          <w:b/>
          <w:bCs/>
          <w:color w:val="8B0000"/>
          <w:sz w:val="30"/>
          <w:szCs w:val="30"/>
        </w:rPr>
        <w:t xml:space="preserve">IX. 1804 – 1811 : l'Empire, du sacre à l'apogée</w:t>
      </w:r>
    </w:p>
    <w:p>
      <w:pPr>
        <w:spacing w:after="90"/>
        <w:ind w:left="200" w:hanging="0"/>
      </w:pPr>
      <w:r>
        <w:rPr>
          <w:b/>
          <w:bCs/>
          <w:color w:val="8B0000"/>
        </w:rPr>
        <w:t xml:space="preserve">Mars 1804 — </w:t>
      </w:r>
      <w:r>
        <w:t xml:space="preserve">Promulgation du Code civil : 1re édition officielle du Code civil des Français. Il consacre les acquis de la Révolution (art. 1 : lois exécutoires dans tout le territoire ; art. 8 : tout Français jouit des droits civils ; art. 544-545 : propriété « droit de jouir et de disposer des biens de la manière la plus absolue », expropriation seulement pour utilité publique et avec indemnité) tout en affirmant l'autorité masculine (art. 213 : « le mari doit protection à sa femme, la femme obéissance à son mari » ; art. 373 : le père seul exerce l'autorité durant le mariage) ; le divorce reste possible (art. 227).</w:t>
      </w:r>
      <w:r>
        <w:rPr>
          <w:i/>
          <w:iCs/>
          <w:color w:val="808080"/>
          <w:sz w:val="17"/>
          <w:szCs w:val="17"/>
        </w:rPr>
        <w:t xml:space="preserve">  [cours + frise + diaporama, diapos 45 et 47]</w:t>
      </w:r>
    </w:p>
    <w:p>
      <w:pPr>
        <w:spacing w:after="90"/>
        <w:ind w:left="200" w:hanging="0"/>
      </w:pPr>
      <w:r>
        <w:rPr>
          <w:b/>
          <w:bCs/>
          <w:color w:val="8B0000"/>
        </w:rPr>
        <w:t xml:space="preserve">1804 — </w:t>
      </w:r>
      <w:r>
        <w:t xml:space="preserve">Napoléon est proclamé empereur des Français par le Sénat ; la décision est soumise à référendum et acceptée. Le régime impérial : l'Empereur nomme préfets, sous-préfets, maires, ministres, Conseil d'État et Sénat ; les citoyens (hommes de plus de 21 ans) n'élisent que des listes communales, départementales et nationales.</w:t>
      </w:r>
      <w:r>
        <w:rPr>
          <w:i/>
          <w:iCs/>
          <w:color w:val="808080"/>
          <w:sz w:val="17"/>
          <w:szCs w:val="17"/>
        </w:rPr>
        <w:t xml:space="preserve">  [cours + diaporama, diapo 44]</w:t>
      </w:r>
    </w:p>
    <w:p>
      <w:pPr>
        <w:spacing w:after="90"/>
        <w:ind w:left="200" w:hanging="0"/>
      </w:pPr>
      <w:r>
        <w:rPr>
          <w:b/>
          <w:bCs/>
          <w:color w:val="8B0000"/>
        </w:rPr>
        <w:t xml:space="preserve">2 décembre 1804 — </w:t>
      </w:r>
      <w:r>
        <w:t xml:space="preserve">Sacre de Napoléon à Notre-Dame de Paris, immortalisé par Jacques-Louis David (1808, huile sur toile, 621 × 979 cm, musée du Louvre).</w:t>
      </w:r>
      <w:r>
        <w:rPr>
          <w:i/>
          <w:iCs/>
          <w:color w:val="808080"/>
          <w:sz w:val="17"/>
          <w:szCs w:val="17"/>
        </w:rPr>
        <w:t xml:space="preserve">  [cours + frise + diaporama, diapo 43]</w:t>
      </w:r>
    </w:p>
    <w:p>
      <w:pPr>
        <w:spacing w:after="90"/>
        <w:ind w:left="200" w:hanging="0"/>
      </w:pPr>
      <w:r>
        <w:rPr>
          <w:b/>
          <w:bCs/>
          <w:color w:val="8B0000"/>
        </w:rPr>
        <w:t xml:space="preserve">1804 (Code civil en Europe) — </w:t>
      </w:r>
      <w:r>
        <w:t xml:space="preserve">Application du Code civil dans l'Empire français dès 1804 ; la carte de sa diffusion couvre la période 1804-1814.</w:t>
      </w:r>
      <w:r>
        <w:rPr>
          <w:i/>
          <w:iCs/>
          <w:color w:val="808080"/>
          <w:sz w:val="17"/>
          <w:szCs w:val="17"/>
        </w:rPr>
        <w:t xml:space="preserve">  [diaporama, diapo 56]</w:t>
      </w:r>
    </w:p>
    <w:p>
      <w:pPr>
        <w:spacing w:after="90"/>
        <w:ind w:left="200" w:hanging="0"/>
      </w:pPr>
      <w:r>
        <w:rPr>
          <w:b/>
          <w:bCs/>
          <w:color w:val="8B0000"/>
        </w:rPr>
        <w:t xml:space="preserve">1805 — </w:t>
      </w:r>
      <w:r>
        <w:t xml:space="preserve">Défaite navale de Trafalgar face aux Britanniques : Napoléon renonce à envahir l'Angleterre et se tourne vers les campagnes continentales, appuyé sur la Grande Armée (2 millions d'hommes issus de 20 nations, première armée d'Europe ; conscription obligatoire pour les Français de 20 à 25 ans, le reste étant formé de contingents étrangers).</w:t>
      </w:r>
      <w:r>
        <w:rPr>
          <w:i/>
          <w:iCs/>
          <w:color w:val="808080"/>
          <w:sz w:val="17"/>
          <w:szCs w:val="17"/>
        </w:rPr>
        <w:t xml:space="preserve">  [cours]</w:t>
      </w:r>
    </w:p>
    <w:p>
      <w:pPr>
        <w:spacing w:after="90"/>
        <w:ind w:left="200" w:hanging="0"/>
      </w:pPr>
      <w:r>
        <w:rPr>
          <w:b/>
          <w:bCs/>
          <w:color w:val="8B0000"/>
        </w:rPr>
        <w:t xml:space="preserve">22 avril 1805 — </w:t>
      </w:r>
      <w:r>
        <w:t xml:space="preserve">Lettre de Napoléon Ier à Fouché, ministre de la Police, sur la presse : « le temps de la Révolution est fini, il n'y a plus en France qu'un parti » ; il annonce qu'un beau jour « on leur fermera la bouche ».</w:t>
      </w:r>
      <w:r>
        <w:rPr>
          <w:i/>
          <w:iCs/>
          <w:color w:val="808080"/>
          <w:sz w:val="17"/>
          <w:szCs w:val="17"/>
        </w:rPr>
        <w:t xml:space="preserve">  [diaporama, diapo 50]</w:t>
      </w:r>
    </w:p>
    <w:p>
      <w:pPr>
        <w:spacing w:after="90"/>
        <w:ind w:left="200" w:hanging="0"/>
      </w:pPr>
      <w:r>
        <w:rPr>
          <w:b/>
          <w:bCs/>
          <w:color w:val="8B0000"/>
        </w:rPr>
        <w:t xml:space="preserve">Décembre 1805 — </w:t>
      </w:r>
      <w:r>
        <w:t xml:space="preserve">Victoire d'Austerlitz, première des grandes victoires continentales.</w:t>
      </w:r>
      <w:r>
        <w:rPr>
          <w:i/>
          <w:iCs/>
          <w:color w:val="808080"/>
          <w:sz w:val="17"/>
          <w:szCs w:val="17"/>
        </w:rPr>
        <w:t xml:space="preserve">  [frise + diaporama, diapo 54]</w:t>
      </w:r>
    </w:p>
    <w:p>
      <w:pPr>
        <w:spacing w:after="90"/>
        <w:ind w:left="200" w:hanging="0"/>
      </w:pPr>
      <w:r>
        <w:rPr>
          <w:b/>
          <w:bCs/>
          <w:color w:val="8B0000"/>
        </w:rPr>
        <w:t xml:space="preserve">1806 — </w:t>
      </w:r>
      <w:r>
        <w:t xml:space="preserve">Victoire d'Iéna contre la Prusse. Mise en place du blocus continental contre le Royaume-Uni.</w:t>
      </w:r>
      <w:r>
        <w:rPr>
          <w:i/>
          <w:iCs/>
          <w:color w:val="808080"/>
          <w:sz w:val="17"/>
          <w:szCs w:val="17"/>
        </w:rPr>
        <w:t xml:space="preserve">  [cours + diaporama, diapo 54]</w:t>
      </w:r>
    </w:p>
    <w:p>
      <w:pPr>
        <w:spacing w:after="90"/>
        <w:ind w:left="200" w:hanging="0"/>
      </w:pPr>
      <w:r>
        <w:rPr>
          <w:b/>
          <w:bCs/>
          <w:color w:val="8B0000"/>
        </w:rPr>
        <w:t xml:space="preserve">1806 – 1814 — </w:t>
      </w:r>
      <w:r>
        <w:t xml:space="preserve">Diffusion du Code Napoléon dans les territoires européens contrôlés par la France.</w:t>
      </w:r>
      <w:r>
        <w:rPr>
          <w:i/>
          <w:iCs/>
          <w:color w:val="808080"/>
          <w:sz w:val="17"/>
          <w:szCs w:val="17"/>
        </w:rPr>
        <w:t xml:space="preserve">  [diaporama, diapo 46]</w:t>
      </w:r>
    </w:p>
    <w:p>
      <w:pPr>
        <w:spacing w:after="90"/>
        <w:ind w:left="200" w:hanging="0"/>
      </w:pPr>
      <w:r>
        <w:rPr>
          <w:b/>
          <w:bCs/>
          <w:color w:val="8B0000"/>
        </w:rPr>
        <w:t xml:space="preserve">1807 — </w:t>
      </w:r>
      <w:r>
        <w:t xml:space="preserve">Victoires d'Eylau et de Friedland. Deuxième édition du Code civil sous le nom de Code Napoléon, progressivement introduit dans les États sous influence française.</w:t>
      </w:r>
      <w:r>
        <w:rPr>
          <w:i/>
          <w:iCs/>
          <w:color w:val="808080"/>
          <w:sz w:val="17"/>
          <w:szCs w:val="17"/>
        </w:rPr>
        <w:t xml:space="preserve">  [cours + diaporama, diapos 46 et 54]</w:t>
      </w:r>
    </w:p>
    <w:p>
      <w:pPr>
        <w:spacing w:after="90"/>
        <w:ind w:left="200" w:hanging="0"/>
      </w:pPr>
      <w:r>
        <w:rPr>
          <w:b/>
          <w:bCs/>
          <w:color w:val="8B0000"/>
        </w:rPr>
        <w:t xml:space="preserve">15 novembre 1807 — </w:t>
      </w:r>
      <w:r>
        <w:t xml:space="preserve">Lettre de Napoléon à son frère Jérôme, roi de Westphalie : il lui recommande de diviser son royaume en départements, d'abolir le servage, d'ouvrir les emplois aux non-nobles, d'être « un roi constitutionnel » et surtout de ne rien changer à l'établissement du Code Napoléon.</w:t>
      </w:r>
      <w:r>
        <w:rPr>
          <w:i/>
          <w:iCs/>
          <w:color w:val="808080"/>
          <w:sz w:val="17"/>
          <w:szCs w:val="17"/>
        </w:rPr>
        <w:t xml:space="preserve">  [diaporama, diapo 55]</w:t>
      </w:r>
    </w:p>
    <w:p>
      <w:pPr>
        <w:spacing w:after="90"/>
        <w:ind w:left="200" w:hanging="0"/>
      </w:pPr>
      <w:r>
        <w:rPr>
          <w:b/>
          <w:bCs/>
          <w:color w:val="8B0000"/>
        </w:rPr>
        <w:t xml:space="preserve">1808 — </w:t>
      </w:r>
      <w:r>
        <w:t xml:space="preserve">Création des universités impériales. Début de la révolte espagnole contre l'occupation française (victoire française de Tudela) : la domination française est de plus en plus contestée par les peuples européens.</w:t>
      </w:r>
      <w:r>
        <w:rPr>
          <w:i/>
          <w:iCs/>
          <w:color w:val="808080"/>
          <w:sz w:val="17"/>
          <w:szCs w:val="17"/>
        </w:rPr>
        <w:t xml:space="preserve">  [cours + frise + diaporama, diapo 54]</w:t>
      </w:r>
    </w:p>
    <w:p>
      <w:pPr>
        <w:spacing w:after="90"/>
        <w:ind w:left="200" w:hanging="0"/>
      </w:pPr>
      <w:r>
        <w:rPr>
          <w:b/>
          <w:bCs/>
          <w:color w:val="8B0000"/>
        </w:rPr>
        <w:t xml:space="preserve">1809 — </w:t>
      </w:r>
      <w:r>
        <w:t xml:space="preserve">Victoire de Wagram contre l'Autriche.</w:t>
      </w:r>
      <w:r>
        <w:rPr>
          <w:i/>
          <w:iCs/>
          <w:color w:val="808080"/>
          <w:sz w:val="17"/>
          <w:szCs w:val="17"/>
        </w:rPr>
        <w:t xml:space="preserve">  [cours + diaporama, diapo 54]</w:t>
      </w:r>
    </w:p>
    <w:p>
      <w:pPr>
        <w:spacing w:after="90"/>
        <w:ind w:left="200" w:hanging="0"/>
      </w:pPr>
      <w:r>
        <w:rPr>
          <w:b/>
          <w:bCs/>
          <w:color w:val="8B0000"/>
        </w:rPr>
        <w:t xml:space="preserve">1811 — </w:t>
      </w:r>
      <w:r>
        <w:t xml:space="preserve">Apogée de l'Empire : 130 départements français. La Confédération du Rhin, le grand-duché de Varsovie, la Confédération helvétique, l'Espagne, les royaumes d'Italie et de Naples sont des États vassaux dirigés par des membres de la famille de Napoléon ou des princes soumis. La carte distingue les victoires napoléoniennes avant 1811 des défaites après 1811.</w:t>
      </w:r>
      <w:r>
        <w:rPr>
          <w:i/>
          <w:iCs/>
          <w:color w:val="808080"/>
          <w:sz w:val="17"/>
          <w:szCs w:val="17"/>
        </w:rPr>
        <w:t xml:space="preserve">  [cours + diaporama, diapo 54]</w:t>
      </w:r>
    </w:p>
    <w:p>
      <w:pPr>
        <w:spacing w:after="90"/>
        <w:ind w:left="200" w:hanging="0"/>
      </w:pPr>
      <w:r>
        <w:rPr>
          <w:b/>
          <w:bCs/>
          <w:color w:val="8B0000"/>
        </w:rPr>
        <w:t xml:space="preserve">Légion d'honneur — </w:t>
      </w:r>
      <w:r>
        <w:t xml:space="preserve">Créée sous le Consulat et l'Empire, elle récompense les mérites militaires ou civils et permet à Napoléon de s'attacher l'élite de la Nation (aucune date précise n'est donnée dans tes documents).</w:t>
      </w:r>
      <w:r>
        <w:rPr>
          <w:i/>
          <w:iCs/>
          <w:color w:val="808080"/>
          <w:sz w:val="17"/>
          <w:szCs w:val="17"/>
        </w:rPr>
        <w:t xml:space="preserve">  [cours]</w:t>
      </w:r>
    </w:p>
    <w:p>
      <w:pPr>
        <w:pStyle w:val="Heading1"/>
        <w:pBdr>
          <w:bottom w:val="single" w:color="8B0000" w:sz="8" w:space="4"/>
        </w:pBdr>
        <w:spacing w:after="160" w:before="360"/>
      </w:pPr>
      <w:r>
        <w:rPr>
          <w:b/>
          <w:bCs/>
          <w:color w:val="8B0000"/>
          <w:sz w:val="30"/>
          <w:szCs w:val="30"/>
        </w:rPr>
        <w:t xml:space="preserve">X. 1812 – 1815 : la chute de l'Empire</w:t>
      </w:r>
    </w:p>
    <w:p>
      <w:pPr>
        <w:spacing w:after="90"/>
        <w:ind w:left="200" w:hanging="0"/>
      </w:pPr>
      <w:r>
        <w:rPr>
          <w:b/>
          <w:bCs/>
          <w:color w:val="8B0000"/>
        </w:rPr>
        <w:t xml:space="preserve">1812 — </w:t>
      </w:r>
      <w:r>
        <w:t xml:space="preserve">Retraite de Russie : désastre militaire qui marque le début de la fin.</w:t>
      </w:r>
      <w:r>
        <w:rPr>
          <w:i/>
          <w:iCs/>
          <w:color w:val="808080"/>
          <w:sz w:val="17"/>
          <w:szCs w:val="17"/>
        </w:rPr>
        <w:t xml:space="preserve">  [cours + frise + diaporama, diapo 54]</w:t>
      </w:r>
    </w:p>
    <w:p>
      <w:pPr>
        <w:spacing w:after="90"/>
        <w:ind w:left="200" w:hanging="0"/>
      </w:pPr>
      <w:r>
        <w:rPr>
          <w:b/>
          <w:bCs/>
          <w:color w:val="8B0000"/>
        </w:rPr>
        <w:t xml:space="preserve">1813 — </w:t>
      </w:r>
      <w:r>
        <w:t xml:space="preserve">Défaite de Leipzig (« bataille des Nations ») : la France est ensuite envahie par les forces d'une nouvelle coalition.</w:t>
      </w:r>
      <w:r>
        <w:rPr>
          <w:i/>
          <w:iCs/>
          <w:color w:val="808080"/>
          <w:sz w:val="17"/>
          <w:szCs w:val="17"/>
        </w:rPr>
        <w:t xml:space="preserve">  [cours + diaporama, diapo 54]</w:t>
      </w:r>
    </w:p>
    <w:p>
      <w:pPr>
        <w:spacing w:after="90"/>
        <w:ind w:left="200" w:hanging="0"/>
      </w:pPr>
      <w:r>
        <w:rPr>
          <w:b/>
          <w:bCs/>
          <w:color w:val="8B0000"/>
        </w:rPr>
        <w:t xml:space="preserve">31 mars 1814 — </w:t>
      </w:r>
      <w:r>
        <w:t xml:space="preserve">Napoléon à Fontainebleau, sujet du tableau de Paul Delaroche (1840, musée de l'Armée) : image de l'Empereur vaincu.</w:t>
      </w:r>
      <w:r>
        <w:rPr>
          <w:i/>
          <w:iCs/>
          <w:color w:val="808080"/>
          <w:sz w:val="17"/>
          <w:szCs w:val="17"/>
        </w:rPr>
        <w:t xml:space="preserve">  [diaporama, diapo 57]</w:t>
      </w:r>
    </w:p>
    <w:p>
      <w:pPr>
        <w:spacing w:after="90"/>
        <w:ind w:left="200" w:hanging="0"/>
      </w:pPr>
      <w:r>
        <w:rPr>
          <w:b/>
          <w:bCs/>
          <w:color w:val="8B0000"/>
        </w:rPr>
        <w:t xml:space="preserve">Avril 1814 — </w:t>
      </w:r>
      <w:r>
        <w:t xml:space="preserve">Première abdication de Napoléon, exilé sur l'île d'Elbe (en Méditerranée). Louis XVIII, frère de Louis XVI, est proclamé roi de France : c'est la première Restauration.</w:t>
      </w:r>
      <w:r>
        <w:rPr>
          <w:i/>
          <w:iCs/>
          <w:color w:val="808080"/>
          <w:sz w:val="17"/>
          <w:szCs w:val="17"/>
        </w:rPr>
        <w:t xml:space="preserve">  [cours + frise]</w:t>
      </w:r>
    </w:p>
    <w:p>
      <w:pPr>
        <w:spacing w:after="90"/>
        <w:ind w:left="200" w:hanging="0"/>
      </w:pPr>
      <w:r>
        <w:rPr>
          <w:b/>
          <w:bCs/>
          <w:color w:val="8B0000"/>
        </w:rPr>
        <w:t xml:space="preserve">Mars 1815 — </w:t>
      </w:r>
      <w:r>
        <w:t xml:space="preserve">Napoléon débarque en Provence et remonte sur le trône : les Cent-Jours, le roi s'étant enfui. Une coalition rassemblant l'Angleterre, la Prusse et l'Autriche déclare la guerre à la France.</w:t>
      </w:r>
      <w:r>
        <w:rPr>
          <w:i/>
          <w:iCs/>
          <w:color w:val="808080"/>
          <w:sz w:val="17"/>
          <w:szCs w:val="17"/>
        </w:rPr>
        <w:t xml:space="preserve">  [cours]</w:t>
      </w:r>
    </w:p>
    <w:p>
      <w:pPr>
        <w:spacing w:after="90"/>
        <w:ind w:left="200" w:hanging="0"/>
      </w:pPr>
      <w:r>
        <w:rPr>
          <w:b/>
          <w:bCs/>
          <w:color w:val="8B0000"/>
        </w:rPr>
        <w:t xml:space="preserve">18 juin 1815 — </w:t>
      </w:r>
      <w:r>
        <w:t xml:space="preserve">Défaite de Waterloo : Napoléon abdique une seconde fois et est exilé sur l'île de Sainte-Hélène (« C'est fini », Oscar Rex, vers 1900).</w:t>
      </w:r>
      <w:r>
        <w:rPr>
          <w:i/>
          <w:iCs/>
          <w:color w:val="808080"/>
          <w:sz w:val="17"/>
          <w:szCs w:val="17"/>
        </w:rPr>
        <w:t xml:space="preserve">  [cours + frise + diaporama, diapos 54 et 58]</w:t>
      </w:r>
    </w:p>
    <w:p>
      <w:pPr>
        <w:spacing w:after="90"/>
        <w:ind w:left="200" w:hanging="0"/>
      </w:pPr>
      <w:r>
        <w:rPr>
          <w:b/>
          <w:bCs/>
          <w:color w:val="8B0000"/>
        </w:rPr>
        <w:t xml:space="preserve">1815 — </w:t>
      </w:r>
      <w:r>
        <w:t xml:space="preserve">Les frontières de la France sont ramenées à celles de 1792. Les Restaurations monarchiques en Europe montrent la volonté de clore la période révolutionnaire, mais le XIXe siècle s'affirmera comme le « siècle des nationalités ».</w:t>
      </w:r>
      <w:r>
        <w:rPr>
          <w:i/>
          <w:iCs/>
          <w:color w:val="808080"/>
          <w:sz w:val="17"/>
          <w:szCs w:val="17"/>
        </w:rPr>
        <w:t xml:space="preserve">  [cours]</w:t>
      </w:r>
    </w:p>
    <w:p>
      <w:pPr>
        <w:spacing w:after="90"/>
        <w:ind w:left="200" w:hanging="0"/>
      </w:pPr>
      <w:r>
        <w:rPr>
          <w:b/>
          <w:bCs/>
          <w:color w:val="8B0000"/>
        </w:rPr>
        <w:t xml:space="preserve">1821 — </w:t>
      </w:r>
      <w:r>
        <w:t xml:space="preserve">Mort de Napoléon à Sainte-Hélène.</w:t>
      </w:r>
      <w:r>
        <w:rPr>
          <w:i/>
          <w:iCs/>
          <w:color w:val="808080"/>
          <w:sz w:val="17"/>
          <w:szCs w:val="17"/>
        </w:rPr>
        <w:t xml:space="preserve">  [cours]</w:t>
      </w:r>
    </w:p>
    <w:p>
      <w:pPr>
        <w:pStyle w:val="Heading1"/>
        <w:pBdr>
          <w:bottom w:val="single" w:color="8B0000" w:sz="8" w:space="4"/>
        </w:pBdr>
        <w:spacing w:after="160" w:before="360"/>
      </w:pPr>
      <w:r>
        <w:rPr>
          <w:b/>
          <w:bCs/>
          <w:color w:val="8B0000"/>
          <w:sz w:val="30"/>
          <w:szCs w:val="30"/>
        </w:rPr>
        <w:t xml:space="preserve">XI. Tableaux de synthèse</w:t>
      </w:r>
    </w:p>
    <w:p>
      <w:pPr>
        <w:pStyle w:val="Heading2"/>
        <w:spacing w:after="100" w:before="240"/>
      </w:pPr>
      <w:r>
        <w:rPr>
          <w:b/>
          <w:bCs/>
          <w:color w:val="1F3864"/>
          <w:sz w:val="25"/>
          <w:szCs w:val="25"/>
        </w:rPr>
        <w:t xml:space="preserve">1. Les régimes politiques qui se succèdent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00"/>
      </w:tblGrid>
      <w:tr>
        <w:trPr>
          <w:tblHeader/>
        </w:trPr>
        <w:tc>
          <w:tcPr>
            <w:tcW w:type="dxa" w:w="2600"/>
            <w:shd w:fill="E8E0D8" w:val="clear"/>
            <w:tcMar>
              <w:top w:type="dxa" w:w="60"/>
              <w:left w:type="dxa" w:w="100"/>
              <w:bottom w:type="dxa" w:w="60"/>
              <w:right w:type="dxa" w:w="100"/>
            </w:tcMar>
          </w:tcPr>
          <w:p>
            <w:pPr>
              <w:spacing w:after="0"/>
            </w:pPr>
            <w:r>
              <w:rPr>
                <w:b/>
                <w:bCs/>
                <w:sz w:val="19"/>
                <w:szCs w:val="19"/>
              </w:rPr>
              <w:t xml:space="preserve">Régime</w:t>
            </w:r>
          </w:p>
        </w:tc>
        <w:tc>
          <w:tcPr>
            <w:tcW w:type="dxa" w:w="1900"/>
            <w:shd w:fill="E8E0D8" w:val="clear"/>
            <w:tcMar>
              <w:top w:type="dxa" w:w="60"/>
              <w:left w:type="dxa" w:w="100"/>
              <w:bottom w:type="dxa" w:w="60"/>
              <w:right w:type="dxa" w:w="100"/>
            </w:tcMar>
          </w:tcPr>
          <w:p>
            <w:pPr>
              <w:spacing w:after="0"/>
            </w:pPr>
            <w:r>
              <w:rPr>
                <w:b/>
                <w:bCs/>
                <w:sz w:val="19"/>
                <w:szCs w:val="19"/>
              </w:rPr>
              <w:t xml:space="preserve">Dates</w:t>
            </w:r>
          </w:p>
        </w:tc>
        <w:tc>
          <w:tcPr>
            <w:tcW w:type="dxa" w:w="4500"/>
            <w:shd w:fill="E8E0D8" w:val="clear"/>
            <w:tcMar>
              <w:top w:type="dxa" w:w="60"/>
              <w:left w:type="dxa" w:w="100"/>
              <w:bottom w:type="dxa" w:w="60"/>
              <w:right w:type="dxa" w:w="100"/>
            </w:tcMar>
          </w:tcPr>
          <w:p>
            <w:pPr>
              <w:spacing w:after="0"/>
            </w:pPr>
            <w:r>
              <w:rPr>
                <w:b/>
                <w:bCs/>
                <w:sz w:val="19"/>
                <w:szCs w:val="19"/>
              </w:rPr>
              <w:t xml:space="preserve">Qui détient le pouvoir ?</w:t>
            </w:r>
          </w:p>
        </w:tc>
      </w:tr>
      <w:tr>
        <w:trPr>
          <w:tblHeader w:val="false"/>
        </w:trPr>
        <w:tc>
          <w:tcPr>
            <w:tcW w:type="dxa" w:w="2600"/>
            <w:tcMar>
              <w:top w:type="dxa" w:w="60"/>
              <w:left w:type="dxa" w:w="100"/>
              <w:bottom w:type="dxa" w:w="60"/>
              <w:right w:type="dxa" w:w="100"/>
            </w:tcMar>
          </w:tcPr>
          <w:p>
            <w:pPr>
              <w:spacing w:after="0"/>
            </w:pPr>
            <w:r>
              <w:rPr>
                <w:b w:val="false"/>
                <w:bCs w:val="false"/>
                <w:sz w:val="19"/>
                <w:szCs w:val="19"/>
              </w:rPr>
              <w:t xml:space="preserve">Monarchie absolue</w:t>
            </w:r>
          </w:p>
        </w:tc>
        <w:tc>
          <w:tcPr>
            <w:tcW w:type="dxa" w:w="1900"/>
            <w:tcMar>
              <w:top w:type="dxa" w:w="60"/>
              <w:left w:type="dxa" w:w="100"/>
              <w:bottom w:type="dxa" w:w="60"/>
              <w:right w:type="dxa" w:w="100"/>
            </w:tcMar>
          </w:tcPr>
          <w:p>
            <w:pPr>
              <w:spacing w:after="0"/>
            </w:pPr>
            <w:r>
              <w:rPr>
                <w:b w:val="false"/>
                <w:bCs w:val="false"/>
                <w:sz w:val="19"/>
                <w:szCs w:val="19"/>
              </w:rPr>
              <w:t xml:space="preserve">jusqu'en 1789</w:t>
            </w:r>
          </w:p>
        </w:tc>
        <w:tc>
          <w:tcPr>
            <w:tcW w:type="dxa" w:w="4500"/>
            <w:tcMar>
              <w:top w:type="dxa" w:w="60"/>
              <w:left w:type="dxa" w:w="100"/>
              <w:bottom w:type="dxa" w:w="60"/>
              <w:right w:type="dxa" w:w="100"/>
            </w:tcMar>
          </w:tcPr>
          <w:p>
            <w:pPr>
              <w:spacing w:after="0"/>
            </w:pPr>
            <w:r>
              <w:rPr>
                <w:b w:val="false"/>
                <w:bCs w:val="false"/>
                <w:sz w:val="19"/>
                <w:szCs w:val="19"/>
              </w:rPr>
              <w:t xml:space="preserve">Le roi seul ; société d'ordres et privilèges</w:t>
            </w:r>
          </w:p>
        </w:tc>
      </w:tr>
      <w:tr>
        <w:trPr>
          <w:tblHeader w:val="false"/>
        </w:trPr>
        <w:tc>
          <w:tcPr>
            <w:tcW w:type="dxa" w:w="2600"/>
            <w:tcMar>
              <w:top w:type="dxa" w:w="60"/>
              <w:left w:type="dxa" w:w="100"/>
              <w:bottom w:type="dxa" w:w="60"/>
              <w:right w:type="dxa" w:w="100"/>
            </w:tcMar>
          </w:tcPr>
          <w:p>
            <w:pPr>
              <w:spacing w:after="0"/>
            </w:pPr>
            <w:r>
              <w:rPr>
                <w:b w:val="false"/>
                <w:bCs w:val="false"/>
                <w:sz w:val="19"/>
                <w:szCs w:val="19"/>
              </w:rPr>
              <w:t xml:space="preserve">Monarchie constitutionnelle</w:t>
            </w:r>
          </w:p>
        </w:tc>
        <w:tc>
          <w:tcPr>
            <w:tcW w:type="dxa" w:w="1900"/>
            <w:tcMar>
              <w:top w:type="dxa" w:w="60"/>
              <w:left w:type="dxa" w:w="100"/>
              <w:bottom w:type="dxa" w:w="60"/>
              <w:right w:type="dxa" w:w="100"/>
            </w:tcMar>
          </w:tcPr>
          <w:p>
            <w:pPr>
              <w:spacing w:after="0"/>
            </w:pPr>
            <w:r>
              <w:rPr>
                <w:b w:val="false"/>
                <w:bCs w:val="false"/>
                <w:sz w:val="19"/>
                <w:szCs w:val="19"/>
              </w:rPr>
              <w:t xml:space="preserve">1789 – août 1792</w:t>
            </w:r>
          </w:p>
        </w:tc>
        <w:tc>
          <w:tcPr>
            <w:tcW w:type="dxa" w:w="4500"/>
            <w:tcMar>
              <w:top w:type="dxa" w:w="60"/>
              <w:left w:type="dxa" w:w="100"/>
              <w:bottom w:type="dxa" w:w="60"/>
              <w:right w:type="dxa" w:w="100"/>
            </w:tcMar>
          </w:tcPr>
          <w:p>
            <w:pPr>
              <w:spacing w:after="0"/>
            </w:pPr>
            <w:r>
              <w:rPr>
                <w:b w:val="false"/>
                <w:bCs w:val="false"/>
                <w:sz w:val="19"/>
                <w:szCs w:val="19"/>
              </w:rPr>
              <w:t xml:space="preserve">Le roi (exécutif, veto) et l'Assemblée législative (745 députés) ; suffrage censitaire</w:t>
            </w:r>
          </w:p>
        </w:tc>
      </w:tr>
      <w:tr>
        <w:trPr>
          <w:tblHeader w:val="false"/>
        </w:trPr>
        <w:tc>
          <w:tcPr>
            <w:tcW w:type="dxa" w:w="2600"/>
            <w:tcMar>
              <w:top w:type="dxa" w:w="60"/>
              <w:left w:type="dxa" w:w="100"/>
              <w:bottom w:type="dxa" w:w="60"/>
              <w:right w:type="dxa" w:w="100"/>
            </w:tcMar>
          </w:tcPr>
          <w:p>
            <w:pPr>
              <w:spacing w:after="0"/>
            </w:pPr>
            <w:r>
              <w:rPr>
                <w:b w:val="false"/>
                <w:bCs w:val="false"/>
                <w:sz w:val="19"/>
                <w:szCs w:val="19"/>
              </w:rPr>
              <w:t xml:space="preserve">République – Convention</w:t>
            </w:r>
          </w:p>
        </w:tc>
        <w:tc>
          <w:tcPr>
            <w:tcW w:type="dxa" w:w="1900"/>
            <w:tcMar>
              <w:top w:type="dxa" w:w="60"/>
              <w:left w:type="dxa" w:w="100"/>
              <w:bottom w:type="dxa" w:w="60"/>
              <w:right w:type="dxa" w:w="100"/>
            </w:tcMar>
          </w:tcPr>
          <w:p>
            <w:pPr>
              <w:spacing w:after="0"/>
            </w:pPr>
            <w:r>
              <w:rPr>
                <w:b w:val="false"/>
                <w:bCs w:val="false"/>
                <w:sz w:val="19"/>
                <w:szCs w:val="19"/>
              </w:rPr>
              <w:t xml:space="preserve">septembre 1792 – 1795</w:t>
            </w:r>
          </w:p>
        </w:tc>
        <w:tc>
          <w:tcPr>
            <w:tcW w:type="dxa" w:w="4500"/>
            <w:tcMar>
              <w:top w:type="dxa" w:w="60"/>
              <w:left w:type="dxa" w:w="100"/>
              <w:bottom w:type="dxa" w:w="60"/>
              <w:right w:type="dxa" w:w="100"/>
            </w:tcMar>
          </w:tcPr>
          <w:p>
            <w:pPr>
              <w:spacing w:after="0"/>
            </w:pPr>
            <w:r>
              <w:rPr>
                <w:b w:val="false"/>
                <w:bCs w:val="false"/>
                <w:sz w:val="19"/>
                <w:szCs w:val="19"/>
              </w:rPr>
              <w:t xml:space="preserve">La Convention élue au suffrage universel masculin ; Girondins, Montagnards, Plaine</w:t>
            </w:r>
          </w:p>
        </w:tc>
      </w:tr>
      <w:tr>
        <w:trPr>
          <w:tblHeader w:val="false"/>
        </w:trPr>
        <w:tc>
          <w:tcPr>
            <w:tcW w:type="dxa" w:w="2600"/>
            <w:tcMar>
              <w:top w:type="dxa" w:w="60"/>
              <w:left w:type="dxa" w:w="100"/>
              <w:bottom w:type="dxa" w:w="60"/>
              <w:right w:type="dxa" w:w="100"/>
            </w:tcMar>
          </w:tcPr>
          <w:p>
            <w:pPr>
              <w:spacing w:after="0"/>
            </w:pPr>
            <w:r>
              <w:rPr>
                <w:b w:val="false"/>
                <w:bCs w:val="false"/>
                <w:sz w:val="19"/>
                <w:szCs w:val="19"/>
              </w:rPr>
              <w:t xml:space="preserve">Terreur (gouvernement révolutionnaire)</w:t>
            </w:r>
          </w:p>
        </w:tc>
        <w:tc>
          <w:tcPr>
            <w:tcW w:type="dxa" w:w="1900"/>
            <w:tcMar>
              <w:top w:type="dxa" w:w="60"/>
              <w:left w:type="dxa" w:w="100"/>
              <w:bottom w:type="dxa" w:w="60"/>
              <w:right w:type="dxa" w:w="100"/>
            </w:tcMar>
          </w:tcPr>
          <w:p>
            <w:pPr>
              <w:spacing w:after="0"/>
            </w:pPr>
            <w:r>
              <w:rPr>
                <w:b w:val="false"/>
                <w:bCs w:val="false"/>
                <w:sz w:val="19"/>
                <w:szCs w:val="19"/>
              </w:rPr>
              <w:t xml:space="preserve">1793 – 1794</w:t>
            </w:r>
          </w:p>
        </w:tc>
        <w:tc>
          <w:tcPr>
            <w:tcW w:type="dxa" w:w="4500"/>
            <w:tcMar>
              <w:top w:type="dxa" w:w="60"/>
              <w:left w:type="dxa" w:w="100"/>
              <w:bottom w:type="dxa" w:w="60"/>
              <w:right w:type="dxa" w:w="100"/>
            </w:tcMar>
          </w:tcPr>
          <w:p>
            <w:pPr>
              <w:spacing w:after="0"/>
            </w:pPr>
            <w:r>
              <w:rPr>
                <w:b w:val="false"/>
                <w:bCs w:val="false"/>
                <w:sz w:val="19"/>
                <w:szCs w:val="19"/>
              </w:rPr>
              <w:t xml:space="preserve">Comité de salut public, Comité de sûreté générale, Tribunal révolutionnaire</w:t>
            </w:r>
          </w:p>
        </w:tc>
      </w:tr>
      <w:tr>
        <w:trPr>
          <w:tblHeader w:val="false"/>
        </w:trPr>
        <w:tc>
          <w:tcPr>
            <w:tcW w:type="dxa" w:w="2600"/>
            <w:tcMar>
              <w:top w:type="dxa" w:w="60"/>
              <w:left w:type="dxa" w:w="100"/>
              <w:bottom w:type="dxa" w:w="60"/>
              <w:right w:type="dxa" w:w="100"/>
            </w:tcMar>
          </w:tcPr>
          <w:p>
            <w:pPr>
              <w:spacing w:after="0"/>
            </w:pPr>
            <w:r>
              <w:rPr>
                <w:b w:val="false"/>
                <w:bCs w:val="false"/>
                <w:sz w:val="19"/>
                <w:szCs w:val="19"/>
              </w:rPr>
              <w:t xml:space="preserve">Directoire</w:t>
            </w:r>
          </w:p>
        </w:tc>
        <w:tc>
          <w:tcPr>
            <w:tcW w:type="dxa" w:w="1900"/>
            <w:tcMar>
              <w:top w:type="dxa" w:w="60"/>
              <w:left w:type="dxa" w:w="100"/>
              <w:bottom w:type="dxa" w:w="60"/>
              <w:right w:type="dxa" w:w="100"/>
            </w:tcMar>
          </w:tcPr>
          <w:p>
            <w:pPr>
              <w:spacing w:after="0"/>
            </w:pPr>
            <w:r>
              <w:rPr>
                <w:b w:val="false"/>
                <w:bCs w:val="false"/>
                <w:sz w:val="19"/>
                <w:szCs w:val="19"/>
              </w:rPr>
              <w:t xml:space="preserve">septembre 1795 – 1799</w:t>
            </w:r>
          </w:p>
        </w:tc>
        <w:tc>
          <w:tcPr>
            <w:tcW w:type="dxa" w:w="4500"/>
            <w:tcMar>
              <w:top w:type="dxa" w:w="60"/>
              <w:left w:type="dxa" w:w="100"/>
              <w:bottom w:type="dxa" w:w="60"/>
              <w:right w:type="dxa" w:w="100"/>
            </w:tcMar>
          </w:tcPr>
          <w:p>
            <w:pPr>
              <w:spacing w:after="0"/>
            </w:pPr>
            <w:r>
              <w:rPr>
                <w:b w:val="false"/>
                <w:bCs w:val="false"/>
                <w:sz w:val="19"/>
                <w:szCs w:val="19"/>
              </w:rPr>
              <w:t xml:space="preserve">5 directeurs + Conseil des Anciens (250) et Conseil des Cinq-Cents (500)</w:t>
            </w:r>
          </w:p>
        </w:tc>
      </w:tr>
      <w:tr>
        <w:trPr>
          <w:tblHeader w:val="false"/>
        </w:trPr>
        <w:tc>
          <w:tcPr>
            <w:tcW w:type="dxa" w:w="2600"/>
            <w:tcMar>
              <w:top w:type="dxa" w:w="60"/>
              <w:left w:type="dxa" w:w="100"/>
              <w:bottom w:type="dxa" w:w="60"/>
              <w:right w:type="dxa" w:w="100"/>
            </w:tcMar>
          </w:tcPr>
          <w:p>
            <w:pPr>
              <w:spacing w:after="0"/>
            </w:pPr>
            <w:r>
              <w:rPr>
                <w:b w:val="false"/>
                <w:bCs w:val="false"/>
                <w:sz w:val="19"/>
                <w:szCs w:val="19"/>
              </w:rPr>
              <w:t xml:space="preserve">Consulat</w:t>
            </w:r>
          </w:p>
        </w:tc>
        <w:tc>
          <w:tcPr>
            <w:tcW w:type="dxa" w:w="1900"/>
            <w:tcMar>
              <w:top w:type="dxa" w:w="60"/>
              <w:left w:type="dxa" w:w="100"/>
              <w:bottom w:type="dxa" w:w="60"/>
              <w:right w:type="dxa" w:w="100"/>
            </w:tcMar>
          </w:tcPr>
          <w:p>
            <w:pPr>
              <w:spacing w:after="0"/>
            </w:pPr>
            <w:r>
              <w:rPr>
                <w:b w:val="false"/>
                <w:bCs w:val="false"/>
                <w:sz w:val="19"/>
                <w:szCs w:val="19"/>
              </w:rPr>
              <w:t xml:space="preserve">1799 – 1804</w:t>
            </w:r>
          </w:p>
        </w:tc>
        <w:tc>
          <w:tcPr>
            <w:tcW w:type="dxa" w:w="4500"/>
            <w:tcMar>
              <w:top w:type="dxa" w:w="60"/>
              <w:left w:type="dxa" w:w="100"/>
              <w:bottom w:type="dxa" w:w="60"/>
              <w:right w:type="dxa" w:w="100"/>
            </w:tcMar>
          </w:tcPr>
          <w:p>
            <w:pPr>
              <w:spacing w:after="0"/>
            </w:pPr>
            <w:r>
              <w:rPr>
                <w:b w:val="false"/>
                <w:bCs w:val="false"/>
                <w:sz w:val="19"/>
                <w:szCs w:val="19"/>
              </w:rPr>
              <w:t xml:space="preserve">Le Premier Consul, plébiscites, Sénat, Tribunat, Corps législatif</w:t>
            </w:r>
          </w:p>
        </w:tc>
      </w:tr>
      <w:tr>
        <w:trPr>
          <w:tblHeader w:val="false"/>
        </w:trPr>
        <w:tc>
          <w:tcPr>
            <w:tcW w:type="dxa" w:w="2600"/>
            <w:tcMar>
              <w:top w:type="dxa" w:w="60"/>
              <w:left w:type="dxa" w:w="100"/>
              <w:bottom w:type="dxa" w:w="60"/>
              <w:right w:type="dxa" w:w="100"/>
            </w:tcMar>
          </w:tcPr>
          <w:p>
            <w:pPr>
              <w:spacing w:after="0"/>
            </w:pPr>
            <w:r>
              <w:rPr>
                <w:b w:val="false"/>
                <w:bCs w:val="false"/>
                <w:sz w:val="19"/>
                <w:szCs w:val="19"/>
              </w:rPr>
              <w:t xml:space="preserve">Premier Empire</w:t>
            </w:r>
          </w:p>
        </w:tc>
        <w:tc>
          <w:tcPr>
            <w:tcW w:type="dxa" w:w="1900"/>
            <w:tcMar>
              <w:top w:type="dxa" w:w="60"/>
              <w:left w:type="dxa" w:w="100"/>
              <w:bottom w:type="dxa" w:w="60"/>
              <w:right w:type="dxa" w:w="100"/>
            </w:tcMar>
          </w:tcPr>
          <w:p>
            <w:pPr>
              <w:spacing w:after="0"/>
            </w:pPr>
            <w:r>
              <w:rPr>
                <w:b w:val="false"/>
                <w:bCs w:val="false"/>
                <w:sz w:val="19"/>
                <w:szCs w:val="19"/>
              </w:rPr>
              <w:t xml:space="preserve">1804 – 1814, puis Cent-Jours en 1815</w:t>
            </w:r>
          </w:p>
        </w:tc>
        <w:tc>
          <w:tcPr>
            <w:tcW w:type="dxa" w:w="4500"/>
            <w:tcMar>
              <w:top w:type="dxa" w:w="60"/>
              <w:left w:type="dxa" w:w="100"/>
              <w:bottom w:type="dxa" w:w="60"/>
              <w:right w:type="dxa" w:w="100"/>
            </w:tcMar>
          </w:tcPr>
          <w:p>
            <w:pPr>
              <w:spacing w:after="0"/>
            </w:pPr>
            <w:r>
              <w:rPr>
                <w:b w:val="false"/>
                <w:bCs w:val="false"/>
                <w:sz w:val="19"/>
                <w:szCs w:val="19"/>
              </w:rPr>
              <w:t xml:space="preserve">Napoléon Ier, empereur des Français ; préfets, listes de notabilités</w:t>
            </w:r>
          </w:p>
        </w:tc>
      </w:tr>
      <w:tr>
        <w:trPr>
          <w:tblHeader w:val="false"/>
        </w:trPr>
        <w:tc>
          <w:tcPr>
            <w:tcW w:type="dxa" w:w="2600"/>
            <w:tcMar>
              <w:top w:type="dxa" w:w="60"/>
              <w:left w:type="dxa" w:w="100"/>
              <w:bottom w:type="dxa" w:w="60"/>
              <w:right w:type="dxa" w:w="100"/>
            </w:tcMar>
          </w:tcPr>
          <w:p>
            <w:pPr>
              <w:spacing w:after="0"/>
            </w:pPr>
            <w:r>
              <w:rPr>
                <w:b w:val="false"/>
                <w:bCs w:val="false"/>
                <w:sz w:val="19"/>
                <w:szCs w:val="19"/>
              </w:rPr>
              <w:t xml:space="preserve">Restauration</w:t>
            </w:r>
          </w:p>
        </w:tc>
        <w:tc>
          <w:tcPr>
            <w:tcW w:type="dxa" w:w="1900"/>
            <w:tcMar>
              <w:top w:type="dxa" w:w="60"/>
              <w:left w:type="dxa" w:w="100"/>
              <w:bottom w:type="dxa" w:w="60"/>
              <w:right w:type="dxa" w:w="100"/>
            </w:tcMar>
          </w:tcPr>
          <w:p>
            <w:pPr>
              <w:spacing w:after="0"/>
            </w:pPr>
            <w:r>
              <w:rPr>
                <w:b w:val="false"/>
                <w:bCs w:val="false"/>
                <w:sz w:val="19"/>
                <w:szCs w:val="19"/>
              </w:rPr>
              <w:t xml:space="preserve">à partir d'avril 1814 / après juin 1815</w:t>
            </w:r>
          </w:p>
        </w:tc>
        <w:tc>
          <w:tcPr>
            <w:tcW w:type="dxa" w:w="4500"/>
            <w:tcMar>
              <w:top w:type="dxa" w:w="60"/>
              <w:left w:type="dxa" w:w="100"/>
              <w:bottom w:type="dxa" w:w="60"/>
              <w:right w:type="dxa" w:w="100"/>
            </w:tcMar>
          </w:tcPr>
          <w:p>
            <w:pPr>
              <w:spacing w:after="0"/>
            </w:pPr>
            <w:r>
              <w:rPr>
                <w:b w:val="false"/>
                <w:bCs w:val="false"/>
                <w:sz w:val="19"/>
                <w:szCs w:val="19"/>
              </w:rPr>
              <w:t xml:space="preserve">Louis XVIII, frère de Louis XVI</w:t>
            </w:r>
          </w:p>
        </w:tc>
      </w:tr>
    </w:tbl>
    <w:p>
      <w:pPr>
        <w:spacing w:after="120"/>
      </w:pPr>
      <w:r>
        <w:t xml:space="preserve"/>
      </w:r>
    </w:p>
    <w:p>
      <w:pPr>
        <w:pStyle w:val="Heading2"/>
        <w:spacing w:after="100" w:before="240"/>
      </w:pPr>
      <w:r>
        <w:rPr>
          <w:b/>
          <w:bCs/>
          <w:color w:val="1F3864"/>
          <w:sz w:val="25"/>
          <w:szCs w:val="25"/>
        </w:rPr>
        <w:t xml:space="preserve">2. Les grandes dates de la frise (Hatier p. 12-13)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8E0D8" w:val="clear"/>
            <w:tcMar>
              <w:top w:type="dxa" w:w="60"/>
              <w:left w:type="dxa" w:w="100"/>
              <w:bottom w:type="dxa" w:w="60"/>
              <w:right w:type="dxa" w:w="100"/>
            </w:tcMar>
          </w:tcPr>
          <w:p>
            <w:pPr>
              <w:spacing w:after="0"/>
            </w:pPr>
            <w:r>
              <w:rPr>
                <w:b/>
                <w:bCs/>
                <w:sz w:val="19"/>
                <w:szCs w:val="19"/>
              </w:rPr>
              <w:t xml:space="preserve">Date</w:t>
            </w:r>
          </w:p>
        </w:tc>
        <w:tc>
          <w:tcPr>
            <w:tcW w:type="dxa" w:w="6600"/>
            <w:shd w:fill="E8E0D8" w:val="clear"/>
            <w:tcMar>
              <w:top w:type="dxa" w:w="60"/>
              <w:left w:type="dxa" w:w="100"/>
              <w:bottom w:type="dxa" w:w="60"/>
              <w:right w:type="dxa" w:w="100"/>
            </w:tcMar>
          </w:tcPr>
          <w:p>
            <w:pPr>
              <w:spacing w:after="0"/>
            </w:pPr>
            <w:r>
              <w:rPr>
                <w:b/>
                <w:bCs/>
                <w:sz w:val="19"/>
                <w:szCs w:val="19"/>
              </w:rPr>
              <w:t xml:space="preserve">Événement</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Mai 1789</w:t>
            </w:r>
          </w:p>
        </w:tc>
        <w:tc>
          <w:tcPr>
            <w:tcW w:type="dxa" w:w="6600"/>
            <w:tcMar>
              <w:top w:type="dxa" w:w="60"/>
              <w:left w:type="dxa" w:w="100"/>
              <w:bottom w:type="dxa" w:w="60"/>
              <w:right w:type="dxa" w:w="100"/>
            </w:tcMar>
          </w:tcPr>
          <w:p>
            <w:pPr>
              <w:spacing w:after="0"/>
            </w:pPr>
            <w:r>
              <w:rPr>
                <w:b w:val="false"/>
                <w:bCs w:val="false"/>
                <w:sz w:val="19"/>
                <w:szCs w:val="19"/>
              </w:rPr>
              <w:t xml:space="preserve">Ouverture des états généraux</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Juin 1789</w:t>
            </w:r>
          </w:p>
        </w:tc>
        <w:tc>
          <w:tcPr>
            <w:tcW w:type="dxa" w:w="6600"/>
            <w:tcMar>
              <w:top w:type="dxa" w:w="60"/>
              <w:left w:type="dxa" w:w="100"/>
              <w:bottom w:type="dxa" w:w="60"/>
              <w:right w:type="dxa" w:w="100"/>
            </w:tcMar>
          </w:tcPr>
          <w:p>
            <w:pPr>
              <w:spacing w:after="0"/>
            </w:pPr>
            <w:r>
              <w:rPr>
                <w:b w:val="false"/>
                <w:bCs w:val="false"/>
                <w:sz w:val="19"/>
                <w:szCs w:val="19"/>
              </w:rPr>
              <w:t xml:space="preserve">Serment du Jeu de paume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Juillet 1789</w:t>
            </w:r>
          </w:p>
        </w:tc>
        <w:tc>
          <w:tcPr>
            <w:tcW w:type="dxa" w:w="6600"/>
            <w:tcMar>
              <w:top w:type="dxa" w:w="60"/>
              <w:left w:type="dxa" w:w="100"/>
              <w:bottom w:type="dxa" w:w="60"/>
              <w:right w:type="dxa" w:w="100"/>
            </w:tcMar>
          </w:tcPr>
          <w:p>
            <w:pPr>
              <w:spacing w:after="0"/>
            </w:pPr>
            <w:r>
              <w:rPr>
                <w:b w:val="false"/>
                <w:bCs w:val="false"/>
                <w:sz w:val="19"/>
                <w:szCs w:val="19"/>
              </w:rPr>
              <w:t xml:space="preserve">Prise de la Bastille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Août 1789</w:t>
            </w:r>
          </w:p>
        </w:tc>
        <w:tc>
          <w:tcPr>
            <w:tcW w:type="dxa" w:w="6600"/>
            <w:tcMar>
              <w:top w:type="dxa" w:w="60"/>
              <w:left w:type="dxa" w:w="100"/>
              <w:bottom w:type="dxa" w:w="60"/>
              <w:right w:type="dxa" w:w="100"/>
            </w:tcMar>
          </w:tcPr>
          <w:p>
            <w:pPr>
              <w:spacing w:after="0"/>
            </w:pPr>
            <w:r>
              <w:rPr>
                <w:b w:val="false"/>
                <w:bCs w:val="false"/>
                <w:sz w:val="19"/>
                <w:szCs w:val="19"/>
              </w:rPr>
              <w:t xml:space="preserve">Abolition des privilèges — Déclaration des droits de l'homme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Août 1792</w:t>
            </w:r>
          </w:p>
        </w:tc>
        <w:tc>
          <w:tcPr>
            <w:tcW w:type="dxa" w:w="6600"/>
            <w:tcMar>
              <w:top w:type="dxa" w:w="60"/>
              <w:left w:type="dxa" w:w="100"/>
              <w:bottom w:type="dxa" w:w="60"/>
              <w:right w:type="dxa" w:w="100"/>
            </w:tcMar>
          </w:tcPr>
          <w:p>
            <w:pPr>
              <w:spacing w:after="0"/>
            </w:pPr>
            <w:r>
              <w:rPr>
                <w:b w:val="false"/>
                <w:bCs w:val="false"/>
                <w:sz w:val="19"/>
                <w:szCs w:val="19"/>
              </w:rPr>
              <w:t xml:space="preserve">Prise des Tuileries</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Septembre 1792</w:t>
            </w:r>
          </w:p>
        </w:tc>
        <w:tc>
          <w:tcPr>
            <w:tcW w:type="dxa" w:w="6600"/>
            <w:tcMar>
              <w:top w:type="dxa" w:w="60"/>
              <w:left w:type="dxa" w:w="100"/>
              <w:bottom w:type="dxa" w:w="60"/>
              <w:right w:type="dxa" w:w="100"/>
            </w:tcMar>
          </w:tcPr>
          <w:p>
            <w:pPr>
              <w:spacing w:after="0"/>
            </w:pPr>
            <w:r>
              <w:rPr>
                <w:b w:val="false"/>
                <w:bCs w:val="false"/>
                <w:sz w:val="19"/>
                <w:szCs w:val="19"/>
              </w:rPr>
              <w:t xml:space="preserve">Début de la République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Janvier 1793</w:t>
            </w:r>
          </w:p>
        </w:tc>
        <w:tc>
          <w:tcPr>
            <w:tcW w:type="dxa" w:w="6600"/>
            <w:tcMar>
              <w:top w:type="dxa" w:w="60"/>
              <w:left w:type="dxa" w:w="100"/>
              <w:bottom w:type="dxa" w:w="60"/>
              <w:right w:type="dxa" w:w="100"/>
            </w:tcMar>
          </w:tcPr>
          <w:p>
            <w:pPr>
              <w:spacing w:after="0"/>
            </w:pPr>
            <w:r>
              <w:rPr>
                <w:b w:val="false"/>
                <w:bCs w:val="false"/>
                <w:sz w:val="19"/>
                <w:szCs w:val="19"/>
              </w:rPr>
              <w:t xml:space="preserve">Mort de Louis XVI</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1793</w:t>
            </w:r>
          </w:p>
        </w:tc>
        <w:tc>
          <w:tcPr>
            <w:tcW w:type="dxa" w:w="6600"/>
            <w:tcMar>
              <w:top w:type="dxa" w:w="60"/>
              <w:left w:type="dxa" w:w="100"/>
              <w:bottom w:type="dxa" w:w="60"/>
              <w:right w:type="dxa" w:w="100"/>
            </w:tcMar>
          </w:tcPr>
          <w:p>
            <w:pPr>
              <w:spacing w:after="0"/>
            </w:pPr>
            <w:r>
              <w:rPr>
                <w:b w:val="false"/>
                <w:bCs w:val="false"/>
                <w:sz w:val="19"/>
                <w:szCs w:val="19"/>
              </w:rPr>
              <w:t xml:space="preserve">Madame Roland (point de passage)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1793 – 1794</w:t>
            </w:r>
          </w:p>
        </w:tc>
        <w:tc>
          <w:tcPr>
            <w:tcW w:type="dxa" w:w="6600"/>
            <w:tcMar>
              <w:top w:type="dxa" w:w="60"/>
              <w:left w:type="dxa" w:w="100"/>
              <w:bottom w:type="dxa" w:w="60"/>
              <w:right w:type="dxa" w:w="100"/>
            </w:tcMar>
          </w:tcPr>
          <w:p>
            <w:pPr>
              <w:spacing w:after="0"/>
            </w:pPr>
            <w:r>
              <w:rPr>
                <w:b w:val="false"/>
                <w:bCs w:val="false"/>
                <w:sz w:val="19"/>
                <w:szCs w:val="19"/>
              </w:rPr>
              <w:t xml:space="preserve">Terreur</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1795 – 1799</w:t>
            </w:r>
          </w:p>
        </w:tc>
        <w:tc>
          <w:tcPr>
            <w:tcW w:type="dxa" w:w="6600"/>
            <w:tcMar>
              <w:top w:type="dxa" w:w="60"/>
              <w:left w:type="dxa" w:w="100"/>
              <w:bottom w:type="dxa" w:w="60"/>
              <w:right w:type="dxa" w:w="100"/>
            </w:tcMar>
          </w:tcPr>
          <w:p>
            <w:pPr>
              <w:spacing w:after="0"/>
            </w:pPr>
            <w:r>
              <w:rPr>
                <w:b w:val="false"/>
                <w:bCs w:val="false"/>
                <w:sz w:val="19"/>
                <w:szCs w:val="19"/>
              </w:rPr>
              <w:t xml:space="preserve">Directoire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Novembre 1799</w:t>
            </w:r>
          </w:p>
        </w:tc>
        <w:tc>
          <w:tcPr>
            <w:tcW w:type="dxa" w:w="6600"/>
            <w:tcMar>
              <w:top w:type="dxa" w:w="60"/>
              <w:left w:type="dxa" w:w="100"/>
              <w:bottom w:type="dxa" w:w="60"/>
              <w:right w:type="dxa" w:w="100"/>
            </w:tcMar>
          </w:tcPr>
          <w:p>
            <w:pPr>
              <w:spacing w:after="0"/>
            </w:pPr>
            <w:r>
              <w:rPr>
                <w:b w:val="false"/>
                <w:bCs w:val="false"/>
                <w:sz w:val="19"/>
                <w:szCs w:val="19"/>
              </w:rPr>
              <w:t xml:space="preserve">Coup d'État de Bonaparte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Juillet 1801</w:t>
            </w:r>
          </w:p>
        </w:tc>
        <w:tc>
          <w:tcPr>
            <w:tcW w:type="dxa" w:w="6600"/>
            <w:tcMar>
              <w:top w:type="dxa" w:w="60"/>
              <w:left w:type="dxa" w:w="100"/>
              <w:bottom w:type="dxa" w:w="60"/>
              <w:right w:type="dxa" w:w="100"/>
            </w:tcMar>
          </w:tcPr>
          <w:p>
            <w:pPr>
              <w:spacing w:after="0"/>
            </w:pPr>
            <w:r>
              <w:rPr>
                <w:b w:val="false"/>
                <w:bCs w:val="false"/>
                <w:sz w:val="19"/>
                <w:szCs w:val="19"/>
              </w:rPr>
              <w:t xml:space="preserve">Concordat</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Mars 1804</w:t>
            </w:r>
          </w:p>
        </w:tc>
        <w:tc>
          <w:tcPr>
            <w:tcW w:type="dxa" w:w="6600"/>
            <w:tcMar>
              <w:top w:type="dxa" w:w="60"/>
              <w:left w:type="dxa" w:w="100"/>
              <w:bottom w:type="dxa" w:w="60"/>
              <w:right w:type="dxa" w:w="100"/>
            </w:tcMar>
          </w:tcPr>
          <w:p>
            <w:pPr>
              <w:spacing w:after="0"/>
            </w:pPr>
            <w:r>
              <w:rPr>
                <w:b w:val="false"/>
                <w:bCs w:val="false"/>
                <w:sz w:val="19"/>
                <w:szCs w:val="19"/>
              </w:rPr>
              <w:t xml:space="preserve">Code civil (point de passage)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Décembre 1804</w:t>
            </w:r>
          </w:p>
        </w:tc>
        <w:tc>
          <w:tcPr>
            <w:tcW w:type="dxa" w:w="6600"/>
            <w:tcMar>
              <w:top w:type="dxa" w:w="60"/>
              <w:left w:type="dxa" w:w="100"/>
              <w:bottom w:type="dxa" w:w="60"/>
              <w:right w:type="dxa" w:w="100"/>
            </w:tcMar>
          </w:tcPr>
          <w:p>
            <w:pPr>
              <w:spacing w:after="0"/>
            </w:pPr>
            <w:r>
              <w:rPr>
                <w:b w:val="false"/>
                <w:bCs w:val="false"/>
                <w:sz w:val="19"/>
                <w:szCs w:val="19"/>
              </w:rPr>
              <w:t xml:space="preserve">Napoléon sacré empereur</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Décembre 1805</w:t>
            </w:r>
          </w:p>
        </w:tc>
        <w:tc>
          <w:tcPr>
            <w:tcW w:type="dxa" w:w="6600"/>
            <w:tcMar>
              <w:top w:type="dxa" w:w="60"/>
              <w:left w:type="dxa" w:w="100"/>
              <w:bottom w:type="dxa" w:w="60"/>
              <w:right w:type="dxa" w:w="100"/>
            </w:tcMar>
          </w:tcPr>
          <w:p>
            <w:pPr>
              <w:spacing w:after="0"/>
            </w:pPr>
            <w:r>
              <w:rPr>
                <w:b w:val="false"/>
                <w:bCs w:val="false"/>
                <w:sz w:val="19"/>
                <w:szCs w:val="19"/>
              </w:rPr>
              <w:t xml:space="preserve">Bataille d'Austerlitz</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1805 – 1810 environ</w:t>
            </w:r>
          </w:p>
        </w:tc>
        <w:tc>
          <w:tcPr>
            <w:tcW w:type="dxa" w:w="6600"/>
            <w:tcMar>
              <w:top w:type="dxa" w:w="60"/>
              <w:left w:type="dxa" w:w="100"/>
              <w:bottom w:type="dxa" w:w="60"/>
              <w:right w:type="dxa" w:w="100"/>
            </w:tcMar>
          </w:tcPr>
          <w:p>
            <w:pPr>
              <w:spacing w:after="0"/>
            </w:pPr>
            <w:r>
              <w:rPr>
                <w:b w:val="false"/>
                <w:bCs w:val="false"/>
                <w:sz w:val="19"/>
                <w:szCs w:val="19"/>
              </w:rPr>
              <w:t xml:space="preserve">Conquêtes napoléoniennes</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1808</w:t>
            </w:r>
          </w:p>
        </w:tc>
        <w:tc>
          <w:tcPr>
            <w:tcW w:type="dxa" w:w="6600"/>
            <w:tcMar>
              <w:top w:type="dxa" w:w="60"/>
              <w:left w:type="dxa" w:w="100"/>
              <w:bottom w:type="dxa" w:w="60"/>
              <w:right w:type="dxa" w:w="100"/>
            </w:tcMar>
          </w:tcPr>
          <w:p>
            <w:pPr>
              <w:spacing w:after="0"/>
            </w:pPr>
            <w:r>
              <w:rPr>
                <w:b w:val="false"/>
                <w:bCs w:val="false"/>
                <w:sz w:val="19"/>
                <w:szCs w:val="19"/>
              </w:rPr>
              <w:t xml:space="preserve">Début de la révolte espagnole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1812</w:t>
            </w:r>
          </w:p>
        </w:tc>
        <w:tc>
          <w:tcPr>
            <w:tcW w:type="dxa" w:w="6600"/>
            <w:tcMar>
              <w:top w:type="dxa" w:w="60"/>
              <w:left w:type="dxa" w:w="100"/>
              <w:bottom w:type="dxa" w:w="60"/>
              <w:right w:type="dxa" w:w="100"/>
            </w:tcMar>
          </w:tcPr>
          <w:p>
            <w:pPr>
              <w:spacing w:after="0"/>
            </w:pPr>
            <w:r>
              <w:rPr>
                <w:b w:val="false"/>
                <w:bCs w:val="false"/>
                <w:sz w:val="19"/>
                <w:szCs w:val="19"/>
              </w:rPr>
              <w:t xml:space="preserve">Retraite de Russie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à partir de 1812</w:t>
            </w:r>
          </w:p>
        </w:tc>
        <w:tc>
          <w:tcPr>
            <w:tcW w:type="dxa" w:w="6600"/>
            <w:tcMar>
              <w:top w:type="dxa" w:w="60"/>
              <w:left w:type="dxa" w:w="100"/>
              <w:bottom w:type="dxa" w:w="60"/>
              <w:right w:type="dxa" w:w="100"/>
            </w:tcMar>
          </w:tcPr>
          <w:p>
            <w:pPr>
              <w:spacing w:after="0"/>
            </w:pPr>
            <w:r>
              <w:rPr>
                <w:b w:val="false"/>
                <w:bCs w:val="false"/>
                <w:sz w:val="19"/>
                <w:szCs w:val="19"/>
              </w:rPr>
              <w:t xml:space="preserve">Défaites napoléoniennes</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Avril 1814</w:t>
            </w:r>
          </w:p>
        </w:tc>
        <w:tc>
          <w:tcPr>
            <w:tcW w:type="dxa" w:w="6600"/>
            <w:tcMar>
              <w:top w:type="dxa" w:w="60"/>
              <w:left w:type="dxa" w:w="100"/>
              <w:bottom w:type="dxa" w:w="60"/>
              <w:right w:type="dxa" w:w="100"/>
            </w:tcMar>
          </w:tcPr>
          <w:p>
            <w:pPr>
              <w:spacing w:after="0"/>
            </w:pPr>
            <w:r>
              <w:rPr>
                <w:b w:val="false"/>
                <w:bCs w:val="false"/>
                <w:sz w:val="19"/>
                <w:szCs w:val="19"/>
              </w:rPr>
              <w:t xml:space="preserve">1re abdication de Napoléon</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Juin 1815</w:t>
            </w:r>
          </w:p>
        </w:tc>
        <w:tc>
          <w:tcPr>
            <w:tcW w:type="dxa" w:w="6600"/>
            <w:tcMar>
              <w:top w:type="dxa" w:w="60"/>
              <w:left w:type="dxa" w:w="100"/>
              <w:bottom w:type="dxa" w:w="60"/>
              <w:right w:type="dxa" w:w="100"/>
            </w:tcMar>
          </w:tcPr>
          <w:p>
            <w:pPr>
              <w:spacing w:after="0"/>
            </w:pPr>
            <w:r>
              <w:rPr>
                <w:b w:val="false"/>
                <w:bCs w:val="false"/>
                <w:sz w:val="19"/>
                <w:szCs w:val="19"/>
              </w:rPr>
              <w:t xml:space="preserve">Défaite de Waterloo — 2e abdication de Napoléon</w:t>
            </w:r>
          </w:p>
        </w:tc>
      </w:tr>
    </w:tbl>
    <w:p>
      <w:pPr>
        <w:spacing w:after="120"/>
      </w:pPr>
      <w:r>
        <w:t xml:space="preserve"/>
      </w:r>
    </w:p>
    <w:p>
      <w:pPr>
        <w:pStyle w:val="Heading2"/>
        <w:spacing w:after="100" w:before="240"/>
      </w:pPr>
      <w:r>
        <w:rPr>
          <w:b/>
          <w:bCs/>
          <w:color w:val="1F3864"/>
          <w:sz w:val="25"/>
          <w:szCs w:val="25"/>
        </w:rPr>
        <w:t xml:space="preserve">3. Chiffres et repères à connaître</w:t>
      </w:r>
    </w:p>
    <w:p>
      <w:pPr>
        <w:pStyle w:val="ListParagraph"/>
        <w:numPr>
          <w:ilvl w:val="0"/>
          <w:numId w:val="1"/>
        </w:numPr>
        <w:spacing w:after="60"/>
      </w:pPr>
      <w:r>
        <w:t xml:space="preserve">2 à 3 % de la population : clergé et noblesse, exemptés d'impôts.</w:t>
      </w:r>
    </w:p>
    <w:p>
      <w:pPr>
        <w:pStyle w:val="ListParagraph"/>
        <w:numPr>
          <w:ilvl w:val="0"/>
          <w:numId w:val="1"/>
        </w:numPr>
        <w:spacing w:after="60"/>
      </w:pPr>
      <w:r>
        <w:t xml:space="preserve">États généraux de 1789 : 291 députés du clergé, 270 de la noblesse, 578 du tiers état.</w:t>
      </w:r>
    </w:p>
    <w:p>
      <w:pPr>
        <w:pStyle w:val="ListParagraph"/>
        <w:numPr>
          <w:ilvl w:val="0"/>
          <w:numId w:val="1"/>
        </w:numPr>
        <w:spacing w:after="60"/>
      </w:pPr>
      <w:r>
        <w:t xml:space="preserve">Constitution de 1791 : 745 députés ; 50 000 électeurs (cens = 10 jours de travail) ; 4,3 millions de citoyens actifs (cens = 3 jours) ; citoyens passifs et femmes exclus.</w:t>
      </w:r>
    </w:p>
    <w:p>
      <w:pPr>
        <w:pStyle w:val="ListParagraph"/>
        <w:numPr>
          <w:ilvl w:val="0"/>
          <w:numId w:val="1"/>
        </w:numPr>
        <w:spacing w:after="60"/>
      </w:pPr>
      <w:r>
        <w:t xml:space="preserve">Directoire : 5 directeurs ; 250 Anciens (+ de 40 ans) ; 500 Cinq-Cents (+ de 30 ans) ; 30 000 électeurs propriétaires ; 6 millions de citoyens actifs ; 1 million de citoyens passifs.</w:t>
      </w:r>
    </w:p>
    <w:p>
      <w:pPr>
        <w:pStyle w:val="ListParagraph"/>
        <w:numPr>
          <w:ilvl w:val="0"/>
          <w:numId w:val="1"/>
        </w:numPr>
        <w:spacing w:after="60"/>
      </w:pPr>
      <w:r>
        <w:t xml:space="preserve">Consulat / Empire : listes de notabilités = 10 % des électeurs à chaque échelon ; citoyens = hommes de plus de 21 ans.</w:t>
      </w:r>
    </w:p>
    <w:p>
      <w:pPr>
        <w:pStyle w:val="ListParagraph"/>
        <w:numPr>
          <w:ilvl w:val="0"/>
          <w:numId w:val="1"/>
        </w:numPr>
        <w:spacing w:after="60"/>
      </w:pPr>
      <w:r>
        <w:t xml:space="preserve">83 départements créés pour faire une France « une et indivisible » ; 130 départements dans l'Empire à son apogée en 1811.</w:t>
      </w:r>
    </w:p>
    <w:p>
      <w:pPr>
        <w:pStyle w:val="ListParagraph"/>
        <w:numPr>
          <w:ilvl w:val="0"/>
          <w:numId w:val="1"/>
        </w:numPr>
        <w:spacing w:after="60"/>
      </w:pPr>
      <w:r>
        <w:t xml:space="preserve">Grande Armée : 2 millions d'hommes, 20 nations ; conscription des Français de 20 à 25 ans.</w:t>
      </w:r>
    </w:p>
    <w:p>
      <w:pPr>
        <w:pStyle w:val="ListParagraph"/>
        <w:numPr>
          <w:ilvl w:val="0"/>
          <w:numId w:val="1"/>
        </w:numPr>
        <w:spacing w:after="60"/>
      </w:pPr>
      <w:r>
        <w:t xml:space="preserve">Autres unifications : système métrique décimal, état civil, instruction publique, vente des biens nationaux.</w:t>
      </w:r>
    </w:p>
    <w:p>
      <w:pPr>
        <w:pStyle w:val="Heading1"/>
        <w:pBdr>
          <w:bottom w:val="single" w:color="8B0000" w:sz="8" w:space="4"/>
        </w:pBdr>
        <w:spacing w:after="160" w:before="360"/>
      </w:pPr>
      <w:r>
        <w:rPr>
          <w:b/>
          <w:bCs/>
          <w:color w:val="8B0000"/>
          <w:sz w:val="30"/>
          <w:szCs w:val="30"/>
        </w:rPr>
        <w:t xml:space="preserve">XII. Conseils de méthode</w:t>
      </w:r>
    </w:p>
    <w:p>
      <w:pPr>
        <w:pStyle w:val="ListParagraph"/>
        <w:numPr>
          <w:ilvl w:val="0"/>
          <w:numId w:val="1"/>
        </w:numPr>
        <w:spacing w:after="60"/>
      </w:pPr>
      <w:r>
        <w:t xml:space="preserve">Apprends les dates par blocs, pas en liste : 1789 (rupture), 1790-1791 (construire), 1792-1794 (radicalisation), 1795-1799 (stabiliser), 1799-1811 (autorité et conquête), 1812-1815 (chute). Le jury attend une chronologie raisonnée, pas un catalogue.</w:t>
      </w:r>
    </w:p>
    <w:p>
      <w:pPr>
        <w:pStyle w:val="ListParagraph"/>
        <w:numPr>
          <w:ilvl w:val="0"/>
          <w:numId w:val="1"/>
        </w:numPr>
        <w:spacing w:after="60"/>
      </w:pPr>
      <w:r>
        <w:t xml:space="preserve">Pour chaque date, entraîne-toi à dire en une phrase : « quoi ? qui ? quelle conséquence ? ». Une date sans conséquence ne rapporte presque rien dans une copie.</w:t>
      </w:r>
    </w:p>
    <w:p>
      <w:pPr>
        <w:pStyle w:val="ListParagraph"/>
        <w:numPr>
          <w:ilvl w:val="0"/>
          <w:numId w:val="1"/>
        </w:numPr>
        <w:spacing w:after="60"/>
      </w:pPr>
      <w:r>
        <w:t xml:space="preserve">Distingue bien les dates de l'événement et les dates de l'œuvre qui le représente : le serment du Jeu de Paume est de juin 1789, mais l'esquisse de David est de 1790 ; la prise des Tuileries est de 1792, le tableau de Duplessis-Bertaux bien postérieur. C'est exactement le type de piège d'une analyse de document.</w:t>
      </w:r>
    </w:p>
    <w:p>
      <w:pPr>
        <w:pStyle w:val="ListParagraph"/>
        <w:numPr>
          <w:ilvl w:val="0"/>
          <w:numId w:val="1"/>
        </w:numPr>
        <w:spacing w:after="60"/>
      </w:pPr>
      <w:r>
        <w:t xml:space="preserve">Mémorise deux ou trois citations courtes par dossier (Robespierre 5 février 1794, la loi des suspects, la levée en masse, le décret sur Lyon, la lettre à Jérôme) : une citation précise vaut mieux qu'un long résumé.</w:t>
      </w:r>
    </w:p>
    <w:p>
      <w:pPr>
        <w:pStyle w:val="ListParagraph"/>
        <w:numPr>
          <w:ilvl w:val="0"/>
          <w:numId w:val="1"/>
        </w:numPr>
        <w:spacing w:after="60"/>
      </w:pPr>
      <w:r>
        <w:t xml:space="preserve">Le fil directeur du chapitre est la question de la souveraineté : qui est souverain, et qui vote, à chaque régime ? Reprends le tableau des régimes et réponds à ces deux questions pour chacun — c'est la colonne vertébrale de la leçon.</w:t>
      </w:r>
    </w:p>
    <w:p>
      <w:pPr>
        <w:pStyle w:val="ListParagraph"/>
        <w:numPr>
          <w:ilvl w:val="0"/>
          <w:numId w:val="1"/>
        </w:numPr>
        <w:spacing w:after="60"/>
      </w:pPr>
      <w:r>
        <w:t xml:space="preserve">Ton cours comporte encore des parties laissées en pointillés (le procès de Louis XVI, la République contestée et la Terreur, la Révolution et les cultes, les questions sur le Directoire, le Consulat et le Code civil). Complète-les toi-même à partir des dossiers documentaires : c'est le meilleur exercice de révision possible, et ces passages sont probablement ceux qui tomberont.</w:t>
      </w:r>
    </w:p>
    <w:p>
      <w:pPr>
        <w:pStyle w:val="ListParagraph"/>
        <w:numPr>
          <w:ilvl w:val="0"/>
          <w:numId w:val="1"/>
        </w:numPr>
        <w:spacing w:after="60"/>
      </w:pPr>
      <w:r>
        <w:t xml:space="preserve">Signale à ton professeur la date « 1788 » pour l'annulation des élections : savoir repérer une incohérence chronologique dans son propre cours est une vraie compétence d'historien.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2026-09-10T17:03:25.610Z</dcterms:created>
  <dcterms:modified xsi:type="dcterms:W3CDTF">2026-09-10T17:03:25.610Z</dcterms:modified>
</cp:coreProperties>
</file>

<file path=docProps/custom.xml><?xml version="1.0" encoding="utf-8"?>
<Properties xmlns="http://schemas.openxmlformats.org/officeDocument/2006/custom-properties" xmlns:vt="http://schemas.openxmlformats.org/officeDocument/2006/docPropsVTypes"/>
</file>