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318"/>
        <w:tblBorders>
          <w:top w:val="single" w:color="auto" w:sz="4"/>
          <w:left w:val="single" w:color="auto" w:sz="4"/>
          <w:bottom w:val="single" w:color="auto" w:sz="4"/>
          <w:right w:val="single" w:color="auto" w:sz="4"/>
          <w:insideH w:val="single" w:color="auto" w:sz="4"/>
          <w:insideV w:val="single" w:color="auto" w:sz="4"/>
        </w:tblBorders>
      </w:tblPr>
      <w:tblGrid>
        <w:gridCol w:w="10318"/>
      </w:tblGrid>
      <w:tr>
        <w:tc>
          <w:tcPr>
            <w:tcW w:type="dxa" w:w="10318"/>
            <w:tcBorders>
              <w:top w:val="none" w:color="FFFFFF" w:sz="0"/>
              <w:left w:val="none" w:color="FFFFFF" w:sz="0"/>
              <w:bottom w:val="none" w:color="FFFFFF" w:sz="0"/>
              <w:right w:val="none" w:color="FFFFFF" w:sz="0"/>
            </w:tcBorders>
            <w:shd w:fill="1F3864" w:color="auto" w:val="clear"/>
            <w:tcMar>
              <w:top w:type="dxa" w:w="100"/>
              <w:left w:type="dxa" w:w="180"/>
              <w:bottom w:type="dxa" w:w="100"/>
              <w:right w:type="dxa" w:w="180"/>
            </w:tcMar>
          </w:tcPr>
          <w:p>
            <w:r>
              <w:rPr>
                <w:rFonts w:ascii="Calibri" w:cs="Calibri" w:eastAsia="Calibri" w:hAnsi="Calibri"/>
                <w:b/>
                <w:bCs/>
                <w:color w:val="FFD966"/>
                <w:sz w:val="20"/>
                <w:szCs w:val="20"/>
              </w:rPr>
              <w:t xml:space="preserve">LECTURE LINÉAIRE N°3</w:t>
            </w:r>
            <w:r>
              <w:rPr>
                <w:rFonts w:ascii="Calibri" w:cs="Calibri" w:eastAsia="Calibri" w:hAnsi="Calibri"/>
                <w:color w:val="D9E2F3"/>
                <w:sz w:val="17"/>
                <w:szCs w:val="17"/>
              </w:rPr>
              <w:t xml:space="preserve">   ·   Objet d’étude : la littérature d’idées du XVIe au XVIIIe siècle</w:t>
            </w:r>
          </w:p>
          <w:p>
            <w:pPr>
              <w:spacing w:before="40"/>
            </w:pPr>
            <w:r>
              <w:rPr>
                <w:rFonts w:ascii="Calibri" w:cs="Calibri" w:eastAsia="Calibri" w:hAnsi="Calibri"/>
                <w:b/>
                <w:bCs/>
                <w:i w:val="false"/>
                <w:iCs w:val="false"/>
                <w:color w:val="FFFFFF"/>
                <w:sz w:val="32"/>
                <w:szCs w:val="32"/>
              </w:rPr>
              <w:t xml:space="preserve">La Boétie, Discours de la servitude volontaire</w:t>
            </w:r>
          </w:p>
          <w:p>
            <w:pPr>
              <w:spacing w:before="30"/>
            </w:pPr>
            <w:r>
              <w:rPr>
                <w:rFonts w:ascii="Calibri" w:cs="Calibri" w:eastAsia="Calibri" w:hAnsi="Calibri"/>
                <w:i/>
                <w:iCs/>
                <w:color w:val="FFFFFF"/>
                <w:sz w:val="18"/>
                <w:szCs w:val="18"/>
              </w:rPr>
              <w:t xml:space="preserve">De « Certainement le tyran n’aime jamais… » à « … je n’en vois pas une ».</w:t>
            </w:r>
          </w:p>
          <w:p>
            <w:pPr>
              <w:spacing w:before="30"/>
            </w:pPr>
            <w:r>
              <w:rPr>
                <w:rFonts w:ascii="Calibri" w:cs="Calibri" w:eastAsia="Calibri" w:hAnsi="Calibri"/>
                <w:b/>
                <w:bCs/>
                <w:color w:val="FFD966"/>
                <w:sz w:val="19"/>
                <w:szCs w:val="19"/>
              </w:rPr>
              <w:t xml:space="preserve">L’amitié, antidote à la tyrannie</w:t>
            </w:r>
          </w:p>
        </w:tc>
      </w:tr>
    </w:tbl>
    <w:p>
      <w:pPr>
        <w:spacing w:after="80"/>
      </w:pPr>
    </w:p>
    <w:tbl>
      <w:tblPr>
        <w:tblW w:type="dxa" w:w="10318"/>
        <w:tblBorders>
          <w:top w:val="single" w:color="auto" w:sz="4"/>
          <w:left w:val="single" w:color="auto" w:sz="4"/>
          <w:bottom w:val="single" w:color="auto" w:sz="4"/>
          <w:right w:val="single" w:color="auto" w:sz="4"/>
          <w:insideH w:val="single" w:color="auto" w:sz="4"/>
          <w:insideV w:val="single" w:color="auto" w:sz="4"/>
        </w:tblBorders>
      </w:tblPr>
      <w:tblGrid>
        <w:gridCol w:w="5099"/>
        <w:gridCol w:w="120"/>
        <w:gridCol w:w="5099"/>
      </w:tblGrid>
      <w:tr>
        <w:tc>
          <w:tcPr>
            <w:tcW w:type="dxa" w:w="5099"/>
            <w:tcBorders>
              <w:top w:val="single" w:color="BF8F00" w:sz="8"/>
              <w:left w:val="single" w:color="BF8F00" w:sz="24"/>
              <w:bottom w:val="single" w:color="BF8F00" w:sz="8"/>
              <w:right w:val="single" w:color="BF8F00" w:sz="8"/>
            </w:tcBorders>
            <w:shd w:fill="FFF8E1" w:color="auto" w:val="clear"/>
            <w:tcMar>
              <w:top w:type="dxa" w:w="80"/>
              <w:left w:type="dxa" w:w="130"/>
              <w:bottom w:type="dxa" w:w="80"/>
              <w:right w:type="dxa" w:w="130"/>
            </w:tcMar>
          </w:tcPr>
          <w:p>
            <w:pPr>
              <w:spacing w:after="40"/>
            </w:pPr>
            <w:r>
              <w:rPr>
                <w:rFonts w:ascii="Calibri" w:cs="Calibri" w:eastAsia="Calibri" w:hAnsi="Calibri"/>
                <w:b/>
                <w:bCs/>
                <w:color w:val="7F6000"/>
                <w:sz w:val="21"/>
                <w:szCs w:val="21"/>
              </w:rPr>
              <w:t xml:space="preserve">✒ L’auteur : Étienne de La Boétie (1530-1563)</w:t>
            </w:r>
          </w:p>
          <w:p>
            <w:pPr>
              <w:spacing w:after="30" w:line="250"/>
              <w:jc w:val="both"/>
            </w:pPr>
            <w:r>
              <w:rPr>
                <w:rFonts w:ascii="Calibri" w:cs="Calibri" w:eastAsia="Calibri" w:hAnsi="Calibri"/>
                <w:sz w:val="17"/>
                <w:szCs w:val="17"/>
              </w:rPr>
              <w:t xml:space="preserve">Né à </w:t>
            </w:r>
            <w:r>
              <w:rPr>
                <w:rFonts w:ascii="Calibri" w:cs="Calibri" w:eastAsia="Calibri" w:hAnsi="Calibri"/>
                <w:b/>
                <w:bCs/>
                <w:sz w:val="17"/>
                <w:szCs w:val="17"/>
              </w:rPr>
              <w:t xml:space="preserve">Sarlat</w:t>
            </w:r>
            <w:r>
              <w:rPr>
                <w:rFonts w:ascii="Calibri" w:cs="Calibri" w:eastAsia="Calibri" w:hAnsi="Calibri"/>
                <w:sz w:val="17"/>
                <w:szCs w:val="17"/>
              </w:rPr>
              <w:t xml:space="preserve"> (Périgord) dans une famille de magistrats, orphelin jeune, il est élevé par son oncle puis étudie le </w:t>
            </w:r>
            <w:r>
              <w:rPr>
                <w:rFonts w:ascii="Calibri" w:cs="Calibri" w:eastAsia="Calibri" w:hAnsi="Calibri"/>
                <w:b/>
                <w:bCs/>
                <w:sz w:val="17"/>
                <w:szCs w:val="17"/>
              </w:rPr>
              <w:t xml:space="preserve">droit à Orléans</w:t>
            </w:r>
            <w:r>
              <w:rPr>
                <w:rFonts w:ascii="Calibri" w:cs="Calibri" w:eastAsia="Calibri" w:hAnsi="Calibri"/>
                <w:sz w:val="17"/>
                <w:szCs w:val="17"/>
              </w:rPr>
              <w:t xml:space="preserve">. Dès 1554, il devient </w:t>
            </w:r>
            <w:r>
              <w:rPr>
                <w:rFonts w:ascii="Calibri" w:cs="Calibri" w:eastAsia="Calibri" w:hAnsi="Calibri"/>
                <w:b/>
                <w:bCs/>
                <w:sz w:val="17"/>
                <w:szCs w:val="17"/>
              </w:rPr>
              <w:t xml:space="preserve">conseiller au Parlement de Bordeaux</w:t>
            </w:r>
            <w:r>
              <w:rPr>
                <w:rFonts w:ascii="Calibri" w:cs="Calibri" w:eastAsia="Calibri" w:hAnsi="Calibri"/>
                <w:sz w:val="17"/>
                <w:szCs w:val="17"/>
              </w:rPr>
              <w:t xml:space="preserve">.</w:t>
            </w:r>
          </w:p>
          <w:p>
            <w:pPr>
              <w:spacing w:after="30" w:line="250"/>
              <w:jc w:val="both"/>
            </w:pPr>
            <w:r>
              <w:rPr>
                <w:rFonts w:ascii="Calibri" w:cs="Calibri" w:eastAsia="Calibri" w:hAnsi="Calibri"/>
                <w:b/>
                <w:bCs/>
                <w:sz w:val="17"/>
                <w:szCs w:val="17"/>
              </w:rPr>
              <w:t xml:space="preserve">Humaniste</w:t>
            </w:r>
            <w:r>
              <w:rPr>
                <w:rFonts w:ascii="Calibri" w:cs="Calibri" w:eastAsia="Calibri" w:hAnsi="Calibri"/>
                <w:sz w:val="17"/>
                <w:szCs w:val="17"/>
              </w:rPr>
              <w:t xml:space="preserve"> : il traduit des auteurs grecs (Xénophon, Plutarque) et écrit des sonnets. En </w:t>
            </w:r>
            <w:r>
              <w:rPr>
                <w:rFonts w:ascii="Calibri" w:cs="Calibri" w:eastAsia="Calibri" w:hAnsi="Calibri"/>
                <w:b/>
                <w:bCs/>
                <w:sz w:val="17"/>
                <w:szCs w:val="17"/>
              </w:rPr>
              <w:t xml:space="preserve">1557</w:t>
            </w:r>
            <w:r>
              <w:rPr>
                <w:rFonts w:ascii="Calibri" w:cs="Calibri" w:eastAsia="Calibri" w:hAnsi="Calibri"/>
                <w:sz w:val="17"/>
                <w:szCs w:val="17"/>
              </w:rPr>
              <w:t xml:space="preserve">, il rencontre </w:t>
            </w:r>
            <w:r>
              <w:rPr>
                <w:rFonts w:ascii="Calibri" w:cs="Calibri" w:eastAsia="Calibri" w:hAnsi="Calibri"/>
                <w:b/>
                <w:bCs/>
                <w:sz w:val="17"/>
                <w:szCs w:val="17"/>
              </w:rPr>
              <w:t xml:space="preserve">Montaigne</w:t>
            </w:r>
            <w:r>
              <w:rPr>
                <w:rFonts w:ascii="Calibri" w:cs="Calibri" w:eastAsia="Calibri" w:hAnsi="Calibri"/>
                <w:sz w:val="17"/>
                <w:szCs w:val="17"/>
              </w:rPr>
              <w:t xml:space="preserve"> : amitié légendaire (« Parce que c’était lui, parce que c’était moi »). Pendant les guerres de religion, il défend la </w:t>
            </w:r>
            <w:r>
              <w:rPr>
                <w:rFonts w:ascii="Calibri" w:cs="Calibri" w:eastAsia="Calibri" w:hAnsi="Calibri"/>
                <w:b/>
                <w:bCs/>
                <w:sz w:val="17"/>
                <w:szCs w:val="17"/>
              </w:rPr>
              <w:t xml:space="preserve">tolérance</w:t>
            </w:r>
            <w:r>
              <w:rPr>
                <w:rFonts w:ascii="Calibri" w:cs="Calibri" w:eastAsia="Calibri" w:hAnsi="Calibri"/>
                <w:sz w:val="17"/>
                <w:szCs w:val="17"/>
              </w:rPr>
              <w:t xml:space="preserve">. Il meurt à </w:t>
            </w:r>
            <w:r>
              <w:rPr>
                <w:rFonts w:ascii="Calibri" w:cs="Calibri" w:eastAsia="Calibri" w:hAnsi="Calibri"/>
                <w:b/>
                <w:bCs/>
                <w:sz w:val="17"/>
                <w:szCs w:val="17"/>
              </w:rPr>
              <w:t xml:space="preserve">32 ans</w:t>
            </w:r>
            <w:r>
              <w:rPr>
                <w:rFonts w:ascii="Calibri" w:cs="Calibri" w:eastAsia="Calibri" w:hAnsi="Calibri"/>
                <w:sz w:val="17"/>
                <w:szCs w:val="17"/>
              </w:rPr>
              <w:t xml:space="preserve"> (1563), Montaigne à son chevet.</w:t>
            </w:r>
          </w:p>
        </w:tc>
        <w:tc>
          <w:tcPr>
            <w:tcW w:type="dxa" w:w="120"/>
            <w:tcBorders>
              <w:top w:val="none" w:color="FFFFFF" w:sz="0"/>
              <w:left w:val="none" w:color="FFFFFF" w:sz="0"/>
              <w:bottom w:val="none" w:color="FFFFFF" w:sz="0"/>
              <w:right w:val="none" w:color="FFFFFF" w:sz="0"/>
            </w:tcBorders>
          </w:tcPr>
          <w:p>
            <w:r>
              <w:t xml:space="preserve"/>
            </w:r>
          </w:p>
        </w:tc>
        <w:tc>
          <w:tcPr>
            <w:tcW w:type="dxa" w:w="5099"/>
            <w:tcBorders>
              <w:top w:val="single" w:color="7030A0" w:sz="8"/>
              <w:left w:val="single" w:color="7030A0" w:sz="24"/>
              <w:bottom w:val="single" w:color="7030A0" w:sz="8"/>
              <w:right w:val="single" w:color="7030A0" w:sz="8"/>
            </w:tcBorders>
            <w:shd w:fill="F3E5F5" w:color="auto" w:val="clear"/>
            <w:tcMar>
              <w:top w:type="dxa" w:w="80"/>
              <w:left w:type="dxa" w:w="130"/>
              <w:bottom w:type="dxa" w:w="80"/>
              <w:right w:type="dxa" w:w="130"/>
            </w:tcMar>
          </w:tcPr>
          <w:p>
            <w:pPr>
              <w:spacing w:after="40"/>
            </w:pPr>
            <w:r>
              <w:rPr>
                <w:rFonts w:ascii="Calibri" w:cs="Calibri" w:eastAsia="Calibri" w:hAnsi="Calibri"/>
                <w:b/>
                <w:bCs/>
                <w:color w:val="7030A0"/>
                <w:sz w:val="21"/>
                <w:szCs w:val="21"/>
              </w:rPr>
              <w:t xml:space="preserve">📖 L’œuvre et son but</w:t>
            </w:r>
          </w:p>
          <w:p>
            <w:pPr>
              <w:spacing w:after="30" w:line="250"/>
              <w:jc w:val="both"/>
            </w:pPr>
            <w:r>
              <w:rPr>
                <w:rFonts w:ascii="Calibri" w:cs="Calibri" w:eastAsia="Calibri" w:hAnsi="Calibri"/>
                <w:sz w:val="17"/>
                <w:szCs w:val="17"/>
              </w:rPr>
              <w:t xml:space="preserve">Écrit </w:t>
            </w:r>
            <w:r>
              <w:rPr>
                <w:rFonts w:ascii="Calibri" w:cs="Calibri" w:eastAsia="Calibri" w:hAnsi="Calibri"/>
                <w:b/>
                <w:bCs/>
                <w:sz w:val="17"/>
                <w:szCs w:val="17"/>
              </w:rPr>
              <w:t xml:space="preserve">très jeune</w:t>
            </w:r>
            <w:r>
              <w:rPr>
                <w:rFonts w:ascii="Calibri" w:cs="Calibri" w:eastAsia="Calibri" w:hAnsi="Calibri"/>
                <w:sz w:val="17"/>
                <w:szCs w:val="17"/>
              </w:rPr>
              <w:t xml:space="preserve"> (vers 16-18 ans selon Montaigne, peut-être après la </w:t>
            </w:r>
            <w:r>
              <w:rPr>
                <w:rFonts w:ascii="Calibri" w:cs="Calibri" w:eastAsia="Calibri" w:hAnsi="Calibri"/>
                <w:b/>
                <w:bCs/>
                <w:sz w:val="17"/>
                <w:szCs w:val="17"/>
              </w:rPr>
              <w:t xml:space="preserve">révolte de la gabelle</w:t>
            </w:r>
            <w:r>
              <w:rPr>
                <w:rFonts w:ascii="Calibri" w:cs="Calibri" w:eastAsia="Calibri" w:hAnsi="Calibri"/>
                <w:sz w:val="17"/>
                <w:szCs w:val="17"/>
              </w:rPr>
              <w:t xml:space="preserve"> en Guyenne, 1548, durement réprimée), aussi appelé le </w:t>
            </w:r>
            <w:r>
              <w:rPr>
                <w:rFonts w:ascii="Calibri" w:cs="Calibri" w:eastAsia="Calibri" w:hAnsi="Calibri"/>
                <w:b/>
                <w:bCs/>
                <w:sz w:val="17"/>
                <w:szCs w:val="17"/>
              </w:rPr>
              <w:t xml:space="preserve">Contr’un</w:t>
            </w:r>
            <w:r>
              <w:rPr>
                <w:rFonts w:ascii="Calibri" w:cs="Calibri" w:eastAsia="Calibri" w:hAnsi="Calibri"/>
                <w:sz w:val="17"/>
                <w:szCs w:val="17"/>
              </w:rPr>
              <w:t xml:space="preserve">. Publié </w:t>
            </w:r>
            <w:r>
              <w:rPr>
                <w:rFonts w:ascii="Calibri" w:cs="Calibri" w:eastAsia="Calibri" w:hAnsi="Calibri"/>
                <w:b/>
                <w:bCs/>
                <w:sz w:val="17"/>
                <w:szCs w:val="17"/>
              </w:rPr>
              <w:t xml:space="preserve">après sa mort</w:t>
            </w:r>
            <w:r>
              <w:rPr>
                <w:rFonts w:ascii="Calibri" w:cs="Calibri" w:eastAsia="Calibri" w:hAnsi="Calibri"/>
                <w:sz w:val="17"/>
                <w:szCs w:val="17"/>
              </w:rPr>
              <w:t xml:space="preserve"> (1574-1576) par des protestants qui en font une arme contre le pouvoir.</w:t>
            </w:r>
          </w:p>
          <w:p>
            <w:pPr>
              <w:spacing w:after="30" w:line="250"/>
              <w:jc w:val="both"/>
            </w:pPr>
            <w:r>
              <w:rPr>
                <w:rFonts w:ascii="Calibri" w:cs="Calibri" w:eastAsia="Calibri" w:hAnsi="Calibri"/>
                <w:b/>
                <w:bCs/>
                <w:sz w:val="17"/>
                <w:szCs w:val="17"/>
              </w:rPr>
              <w:t xml:space="preserve">But</w:t>
            </w:r>
            <w:r>
              <w:rPr>
                <w:rFonts w:ascii="Calibri" w:cs="Calibri" w:eastAsia="Calibri" w:hAnsi="Calibri"/>
                <w:sz w:val="17"/>
                <w:szCs w:val="17"/>
              </w:rPr>
              <w:t xml:space="preserve"> : percer le « mystère » de l’obéissance — pourquoi des peuples entiers servent-ils </w:t>
            </w:r>
            <w:r>
              <w:rPr>
                <w:rFonts w:ascii="Calibri" w:cs="Calibri" w:eastAsia="Calibri" w:hAnsi="Calibri"/>
                <w:b/>
                <w:bCs/>
                <w:sz w:val="17"/>
                <w:szCs w:val="17"/>
              </w:rPr>
              <w:t xml:space="preserve">un seul</w:t>
            </w:r>
            <w:r>
              <w:rPr>
                <w:rFonts w:ascii="Calibri" w:cs="Calibri" w:eastAsia="Calibri" w:hAnsi="Calibri"/>
                <w:sz w:val="17"/>
                <w:szCs w:val="17"/>
              </w:rPr>
              <w:t xml:space="preserve"> homme, qui n’a de pouvoir que celui qu’on lui donne ? La Boétie veut </w:t>
            </w:r>
            <w:r>
              <w:rPr>
                <w:rFonts w:ascii="Calibri" w:cs="Calibri" w:eastAsia="Calibri" w:hAnsi="Calibri"/>
                <w:b/>
                <w:bCs/>
                <w:sz w:val="17"/>
                <w:szCs w:val="17"/>
              </w:rPr>
              <w:t xml:space="preserve">réveiller les consciences</w:t>
            </w:r>
            <w:r>
              <w:rPr>
                <w:rFonts w:ascii="Calibri" w:cs="Calibri" w:eastAsia="Calibri" w:hAnsi="Calibri"/>
                <w:sz w:val="17"/>
                <w:szCs w:val="17"/>
              </w:rPr>
              <w:t xml:space="preserve"> : la liberté est </w:t>
            </w:r>
            <w:r>
              <w:rPr>
                <w:rFonts w:ascii="Calibri" w:cs="Calibri" w:eastAsia="Calibri" w:hAnsi="Calibri"/>
                <w:b/>
                <w:bCs/>
                <w:sz w:val="17"/>
                <w:szCs w:val="17"/>
              </w:rPr>
              <w:t xml:space="preserve">naturelle</w:t>
            </w:r>
            <w:r>
              <w:rPr>
                <w:rFonts w:ascii="Calibri" w:cs="Calibri" w:eastAsia="Calibri" w:hAnsi="Calibri"/>
                <w:sz w:val="17"/>
                <w:szCs w:val="17"/>
              </w:rPr>
              <w:t xml:space="preserve">, la servitude est </w:t>
            </w:r>
            <w:r>
              <w:rPr>
                <w:rFonts w:ascii="Calibri" w:cs="Calibri" w:eastAsia="Calibri" w:hAnsi="Calibri"/>
                <w:b/>
                <w:bCs/>
                <w:sz w:val="17"/>
                <w:szCs w:val="17"/>
              </w:rPr>
              <w:t xml:space="preserve">consentie</w:t>
            </w:r>
            <w:r>
              <w:rPr>
                <w:rFonts w:ascii="Calibri" w:cs="Calibri" w:eastAsia="Calibri" w:hAnsi="Calibri"/>
                <w:sz w:val="17"/>
                <w:szCs w:val="17"/>
              </w:rPr>
              <w:t xml:space="preserve"> (habitude, éducation, réseau de « tyranneaux »). Remède : </w:t>
            </w:r>
            <w:r>
              <w:rPr>
                <w:rFonts w:ascii="Calibri" w:cs="Calibri" w:eastAsia="Calibri" w:hAnsi="Calibri"/>
                <w:b/>
                <w:bCs/>
                <w:sz w:val="17"/>
                <w:szCs w:val="17"/>
              </w:rPr>
              <w:t xml:space="preserve">cesser de servir</w:t>
            </w:r>
            <w:r>
              <w:rPr>
                <w:rFonts w:ascii="Calibri" w:cs="Calibri" w:eastAsia="Calibri" w:hAnsi="Calibri"/>
                <w:sz w:val="17"/>
                <w:szCs w:val="17"/>
              </w:rPr>
              <w:t xml:space="preserve">. Parcours : « Défendre et entretenir la liberté ».</w:t>
            </w:r>
          </w:p>
        </w:tc>
      </w:tr>
    </w:tbl>
    <w:p>
      <w:pPr>
        <w:spacing w:after="80"/>
      </w:pPr>
    </w:p>
    <w:tbl>
      <w:tblPr>
        <w:tblW w:type="dxa" w:w="10318"/>
        <w:tblBorders>
          <w:top w:val="single" w:color="auto" w:sz="4"/>
          <w:left w:val="single" w:color="auto" w:sz="4"/>
          <w:bottom w:val="single" w:color="auto" w:sz="4"/>
          <w:right w:val="single" w:color="auto" w:sz="4"/>
          <w:insideH w:val="single" w:color="auto" w:sz="4"/>
          <w:insideV w:val="single" w:color="auto" w:sz="4"/>
        </w:tblBorders>
      </w:tblPr>
      <w:tblGrid>
        <w:gridCol w:w="10318"/>
      </w:tblGrid>
      <w:tr>
        <w:trPr>
          <w:cantSplit/>
        </w:trPr>
        <w:tc>
          <w:tcPr>
            <w:tcW w:type="dxa" w:w="10318"/>
            <w:tcBorders>
              <w:top w:val="single" w:color="1F3864" w:sz="8"/>
              <w:left w:val="single" w:color="1F3864" w:sz="24"/>
              <w:bottom w:val="single" w:color="1F3864" w:sz="8"/>
              <w:right w:val="single" w:color="1F3864" w:sz="8"/>
            </w:tcBorders>
            <w:shd w:fill="EAF1FB" w:color="auto" w:val="clear"/>
            <w:tcMar>
              <w:top w:type="dxa" w:w="80"/>
              <w:left w:type="dxa" w:w="140"/>
              <w:bottom w:type="dxa" w:w="80"/>
              <w:right w:type="dxa" w:w="140"/>
            </w:tcMar>
          </w:tcPr>
          <w:p>
            <w:pPr>
              <w:spacing w:after="40"/>
            </w:pPr>
            <w:r>
              <w:rPr>
                <w:rFonts w:ascii="Calibri" w:cs="Calibri" w:eastAsia="Calibri" w:hAnsi="Calibri"/>
                <w:b/>
                <w:bCs/>
                <w:color w:val="1F3864"/>
                <w:sz w:val="21"/>
                <w:szCs w:val="21"/>
              </w:rPr>
              <w:t xml:space="preserve">INTRODUCTION</w:t>
            </w:r>
          </w:p>
          <w:p>
            <w:pPr>
              <w:spacing w:after="30" w:line="250"/>
              <w:jc w:val="both"/>
            </w:pPr>
            <w:r>
              <w:rPr>
                <w:rFonts w:ascii="Calibri" w:cs="Calibri" w:eastAsia="Calibri" w:hAnsi="Calibri"/>
                <w:b/>
                <w:bCs/>
                <w:color w:val="1F3864"/>
                <w:sz w:val="18"/>
                <w:szCs w:val="18"/>
              </w:rPr>
              <w:t xml:space="preserve">Accroche : </w:t>
            </w:r>
            <w:r>
              <w:rPr>
                <w:rFonts w:ascii="Calibri" w:cs="Calibri" w:eastAsia="Calibri" w:hAnsi="Calibri"/>
                <w:sz w:val="18"/>
                <w:szCs w:val="18"/>
              </w:rPr>
              <w:t xml:space="preserve">« Parce que c’était lui, parce que c’était moi » : c’est ainsi que Montaigne expliquera son amitié avec La Boétie. Avant de la vivre, celui-ci en avait fait l’éloge dans son Discours.</w:t>
            </w:r>
          </w:p>
          <w:p>
            <w:pPr>
              <w:spacing w:after="30" w:line="250"/>
              <w:jc w:val="both"/>
            </w:pPr>
            <w:r>
              <w:rPr>
                <w:rFonts w:ascii="Calibri" w:cs="Calibri" w:eastAsia="Calibri" w:hAnsi="Calibri"/>
                <w:b/>
                <w:bCs/>
                <w:color w:val="1F3864"/>
                <w:sz w:val="18"/>
                <w:szCs w:val="18"/>
              </w:rPr>
              <w:t xml:space="preserve">Situation : </w:t>
            </w:r>
            <w:r>
              <w:rPr>
                <w:rFonts w:ascii="Calibri" w:cs="Calibri" w:eastAsia="Calibri" w:hAnsi="Calibri"/>
                <w:sz w:val="18"/>
                <w:szCs w:val="18"/>
              </w:rPr>
              <w:t xml:space="preserve">Fin du Discours. La Boétie vient de montrer, avec les exemples des empereurs romains (Néron, Claude, Caligula) cruels envers leurs proches, qu’on ne peut être réellement ami d’un tyran. Il développe cette idée et </w:t>
            </w:r>
            <w:r>
              <w:rPr>
                <w:rFonts w:ascii="Calibri" w:cs="Calibri" w:eastAsia="Calibri" w:hAnsi="Calibri"/>
                <w:b/>
                <w:bCs/>
                <w:sz w:val="18"/>
                <w:szCs w:val="18"/>
              </w:rPr>
              <w:t xml:space="preserve">définit la véritable amitié</w:t>
            </w:r>
            <w:r>
              <w:rPr>
                <w:rFonts w:ascii="Calibri" w:cs="Calibri" w:eastAsia="Calibri" w:hAnsi="Calibri"/>
                <w:sz w:val="18"/>
                <w:szCs w:val="18"/>
              </w:rPr>
              <w:t xml:space="preserve">, qu’il oppose à la fausse « amitié » entre le tyran et ses favoris, comparable à celle des malfaiteurs.</w:t>
            </w:r>
          </w:p>
          <w:p>
            <w:pPr>
              <w:spacing w:after="30" w:line="250"/>
              <w:jc w:val="both"/>
            </w:pPr>
            <w:r>
              <w:rPr>
                <w:rFonts w:ascii="Calibri" w:cs="Calibri" w:eastAsia="Calibri" w:hAnsi="Calibri"/>
                <w:b/>
                <w:bCs/>
                <w:color w:val="1F3864"/>
                <w:sz w:val="18"/>
                <w:szCs w:val="18"/>
              </w:rPr>
              <w:t xml:space="preserve">Enjeu : </w:t>
            </w:r>
            <w:r>
              <w:rPr>
                <w:rFonts w:ascii="Calibri" w:cs="Calibri" w:eastAsia="Calibri" w:hAnsi="Calibri"/>
                <w:sz w:val="18"/>
                <w:szCs w:val="18"/>
              </w:rPr>
              <w:t xml:space="preserve">Opposer les </w:t>
            </w:r>
            <w:r>
              <w:rPr>
                <w:rFonts w:ascii="Calibri" w:cs="Calibri" w:eastAsia="Calibri" w:hAnsi="Calibri"/>
                <w:b/>
                <w:bCs/>
                <w:sz w:val="18"/>
                <w:szCs w:val="18"/>
              </w:rPr>
              <w:t xml:space="preserve">valeurs de l’amitié</w:t>
            </w:r>
            <w:r>
              <w:rPr>
                <w:rFonts w:ascii="Calibri" w:cs="Calibri" w:eastAsia="Calibri" w:hAnsi="Calibri"/>
                <w:sz w:val="18"/>
                <w:szCs w:val="18"/>
              </w:rPr>
              <w:t xml:space="preserve"> (vertu, égalité, réciprocité) aux rapports de </w:t>
            </w:r>
            <w:r>
              <w:rPr>
                <w:rFonts w:ascii="Calibri" w:cs="Calibri" w:eastAsia="Calibri" w:hAnsi="Calibri"/>
                <w:b/>
                <w:bCs/>
                <w:sz w:val="18"/>
                <w:szCs w:val="18"/>
              </w:rPr>
              <w:t xml:space="preserve">pouvoir et de peur</w:t>
            </w:r>
            <w:r>
              <w:rPr>
                <w:rFonts w:ascii="Calibri" w:cs="Calibri" w:eastAsia="Calibri" w:hAnsi="Calibri"/>
                <w:sz w:val="18"/>
                <w:szCs w:val="18"/>
              </w:rPr>
              <w:t xml:space="preserve"> de la tyrannie.</w:t>
            </w:r>
          </w:p>
          <w:p>
            <w:pPr>
              <w:spacing w:after="30" w:line="250"/>
              <w:jc w:val="both"/>
            </w:pPr>
            <w:r>
              <w:rPr>
                <w:rFonts w:ascii="Calibri" w:cs="Calibri" w:eastAsia="Calibri" w:hAnsi="Calibri"/>
                <w:b/>
                <w:bCs/>
                <w:color w:val="1F3864"/>
                <w:sz w:val="18"/>
                <w:szCs w:val="18"/>
              </w:rPr>
              <w:t xml:space="preserve">Problématique : </w:t>
            </w:r>
            <w:r>
              <w:rPr>
                <w:rFonts w:ascii="Calibri" w:cs="Calibri" w:eastAsia="Calibri" w:hAnsi="Calibri"/>
                <w:sz w:val="18"/>
                <w:szCs w:val="18"/>
              </w:rPr>
              <w:t xml:space="preserve">Comment La Boétie analyse-t-il la nature des relations sociales sous un régime tyrannique, tout en faisant l’éloge de l’amitié ?</w:t>
            </w:r>
          </w:p>
          <w:p>
            <w:pPr>
              <w:spacing w:after="30" w:line="250"/>
              <w:jc w:val="both"/>
            </w:pPr>
            <w:r>
              <w:rPr>
                <w:rFonts w:ascii="Calibri" w:cs="Calibri" w:eastAsia="Calibri" w:hAnsi="Calibri"/>
                <w:b/>
                <w:bCs/>
                <w:color w:val="1F3864"/>
                <w:sz w:val="18"/>
                <w:szCs w:val="18"/>
              </w:rPr>
              <w:t xml:space="preserve">Mouvements : </w:t>
            </w:r>
            <w:r>
              <w:rPr>
                <w:rFonts w:ascii="Calibri" w:cs="Calibri" w:eastAsia="Calibri" w:hAnsi="Calibri"/>
                <w:sz w:val="18"/>
                <w:szCs w:val="18"/>
              </w:rPr>
              <w:t xml:space="preserve">1) La définition de l’amitié et son impossibilité sous la tyrannie · 2) Le tyran et les voleurs : une analogie cruelle · 3) L’apologue du renard et du lion : fuir la proximité du pouvoir.</w:t>
            </w:r>
          </w:p>
        </w:tc>
      </w:tr>
    </w:tbl>
    <w:p>
      <w:pPr>
        <w:spacing w:after="60"/>
      </w:pPr>
    </w:p>
    <w:p>
      <w:pPr>
        <w:spacing w:after="60"/>
      </w:pPr>
      <w:r>
        <w:rPr>
          <w:rFonts w:ascii="Calibri" w:cs="Calibri" w:eastAsia="Calibri" w:hAnsi="Calibri"/>
          <w:b/>
          <w:bCs/>
          <w:color w:val="595959"/>
          <w:sz w:val="16"/>
          <w:szCs w:val="16"/>
        </w:rPr>
        <w:t xml:space="preserve">Mode d’emploi : </w:t>
      </w:r>
      <w:r>
        <w:rPr>
          <w:rFonts w:ascii="Calibri" w:cs="Calibri" w:eastAsia="Calibri" w:hAnsi="Calibri"/>
          <w:i/>
          <w:iCs/>
          <w:color w:val="595959"/>
          <w:sz w:val="16"/>
          <w:szCs w:val="16"/>
        </w:rPr>
        <w:t xml:space="preserve">les mots surlignés dans le texte (à gauche) portent un numéro ; le même numéro à droite donne le procédé (en couleur) puis les mots-clés de l’analyse.</w:t>
      </w:r>
    </w:p>
    <w:p>
      <w:pPr>
        <w:keepNext/>
        <w:shd w:fill="2E75B6" w:color="auto" w:val="clear"/>
        <w:spacing w:after="0" w:before="20"/>
      </w:pPr>
      <w:r>
        <w:rPr>
          <w:rFonts w:ascii="Calibri" w:cs="Calibri" w:eastAsia="Calibri" w:hAnsi="Calibri"/>
          <w:b/>
          <w:bCs/>
          <w:color w:val="FFFFFF"/>
          <w:sz w:val="21"/>
          <w:szCs w:val="21"/>
        </w:rPr>
        <w:t xml:space="preserve"> 1er mouvement — Définition de l’amitié et impossibilité sous un régime tyrannique</w:t>
      </w:r>
    </w:p>
    <w:tbl>
      <w:tblPr>
        <w:tblW w:type="dxa" w:w="10318"/>
        <w:tblBorders>
          <w:top w:val="single" w:color="auto" w:sz="4"/>
          <w:left w:val="single" w:color="auto" w:sz="4"/>
          <w:bottom w:val="single" w:color="auto" w:sz="4"/>
          <w:right w:val="single" w:color="auto" w:sz="4"/>
          <w:insideH w:val="single" w:color="auto" w:sz="4"/>
          <w:insideV w:val="single" w:color="auto" w:sz="4"/>
        </w:tblBorders>
      </w:tblPr>
      <w:tblGrid>
        <w:gridCol w:w="5572"/>
        <w:gridCol w:w="4746"/>
      </w:tblGrid>
      <w:tr>
        <w:trPr>
          <w:cantSplit/>
        </w:trPr>
        <w:tc>
          <w:tcPr>
            <w:tcW w:type="dxa" w:w="5572"/>
            <w:tcBorders>
              <w:top w:val="single" w:color="BFBFBF" w:sz="4"/>
              <w:left w:val="single" w:color="2E75B6" w:sz="24"/>
              <w:bottom w:val="single" w:color="BFBFBF" w:sz="4"/>
              <w:right w:val="single" w:color="BFBFBF" w:sz="4"/>
            </w:tcBorders>
            <w:tcMar>
              <w:top w:type="dxa" w:w="60"/>
              <w:left w:type="dxa" w:w="120"/>
              <w:bottom w:type="dxa" w:w="60"/>
              <w:right w:type="dxa" w:w="120"/>
            </w:tcMar>
          </w:tcPr>
          <w:p>
            <w:pPr>
              <w:spacing w:line="255"/>
              <w:jc w:val="both"/>
            </w:pPr>
            <w:r>
              <w:rPr>
                <w:rFonts w:ascii="Calibri" w:cs="Calibri" w:eastAsia="Calibri" w:hAnsi="Calibri"/>
                <w:sz w:val="19"/>
                <w:szCs w:val="19"/>
              </w:rPr>
              <w:t xml:space="preserve">Certainement </w:t>
            </w:r>
            <w:r>
              <w:rPr>
                <w:rFonts w:ascii="Calibri" w:cs="Calibri" w:eastAsia="Calibri" w:hAnsi="Calibri"/>
                <w:b/>
                <w:bCs/>
                <w:sz w:val="19"/>
                <w:szCs w:val="19"/>
                <w:shd w:fill="BDD7EE" w:color="auto" w:val="clear"/>
              </w:rPr>
              <w:t xml:space="preserve">le tyran n’aime jamais, et jamais n’est aimé</w:t>
            </w:r>
            <w:r>
              <w:rPr>
                <w:rFonts w:ascii="Calibri" w:cs="Calibri" w:eastAsia="Calibri" w:hAnsi="Calibri"/>
                <w:b/>
                <w:bCs/>
                <w:color w:val="2E75B6"/>
                <w:sz w:val="17"/>
                <w:szCs w:val="17"/>
              </w:rPr>
              <w:t xml:space="preserve">①</w:t>
            </w:r>
            <w:r>
              <w:rPr>
                <w:rFonts w:ascii="Calibri" w:cs="Calibri" w:eastAsia="Calibri" w:hAnsi="Calibri"/>
                <w:sz w:val="19"/>
                <w:szCs w:val="19"/>
              </w:rPr>
              <w:t xml:space="preserve">. </w:t>
            </w:r>
            <w:r>
              <w:rPr>
                <w:rFonts w:ascii="Calibri" w:cs="Calibri" w:eastAsia="Calibri" w:hAnsi="Calibri"/>
                <w:b/>
                <w:bCs/>
                <w:sz w:val="19"/>
                <w:szCs w:val="19"/>
                <w:shd w:fill="BDD7EE" w:color="auto" w:val="clear"/>
              </w:rPr>
              <w:t xml:space="preserve">L’amitié, c’est un nom sacré, c’est une chose sainte</w:t>
            </w:r>
            <w:r>
              <w:rPr>
                <w:rFonts w:ascii="Calibri" w:cs="Calibri" w:eastAsia="Calibri" w:hAnsi="Calibri"/>
                <w:b/>
                <w:bCs/>
                <w:color w:val="2E75B6"/>
                <w:sz w:val="17"/>
                <w:szCs w:val="17"/>
              </w:rPr>
              <w:t xml:space="preserve">②</w:t>
            </w:r>
            <w:r>
              <w:rPr>
                <w:rFonts w:ascii="Calibri" w:cs="Calibri" w:eastAsia="Calibri" w:hAnsi="Calibri"/>
                <w:sz w:val="19"/>
                <w:szCs w:val="19"/>
              </w:rPr>
              <w:t xml:space="preserve"> : elle </w:t>
            </w:r>
            <w:r>
              <w:rPr>
                <w:rFonts w:ascii="Calibri" w:cs="Calibri" w:eastAsia="Calibri" w:hAnsi="Calibri"/>
                <w:b/>
                <w:bCs/>
                <w:sz w:val="19"/>
                <w:szCs w:val="19"/>
                <w:shd w:fill="BDD7EE" w:color="auto" w:val="clear"/>
              </w:rPr>
              <w:t xml:space="preserve">ne peut exister qu’entre gens de bien</w:t>
            </w:r>
            <w:r>
              <w:rPr>
                <w:rFonts w:ascii="Calibri" w:cs="Calibri" w:eastAsia="Calibri" w:hAnsi="Calibri"/>
                <w:b/>
                <w:bCs/>
                <w:color w:val="2E75B6"/>
                <w:sz w:val="17"/>
                <w:szCs w:val="17"/>
              </w:rPr>
              <w:t xml:space="preserve">③</w:t>
            </w:r>
            <w:r>
              <w:rPr>
                <w:rFonts w:ascii="Calibri" w:cs="Calibri" w:eastAsia="Calibri" w:hAnsi="Calibri"/>
                <w:sz w:val="19"/>
                <w:szCs w:val="19"/>
              </w:rPr>
              <w:t xml:space="preserve"> ; elle </w:t>
            </w:r>
            <w:r>
              <w:rPr>
                <w:rFonts w:ascii="Calibri" w:cs="Calibri" w:eastAsia="Calibri" w:hAnsi="Calibri"/>
                <w:b/>
                <w:bCs/>
                <w:sz w:val="19"/>
                <w:szCs w:val="19"/>
                <w:shd w:fill="BDD7EE" w:color="auto" w:val="clear"/>
              </w:rPr>
              <w:t xml:space="preserve">naît d’une mutuelle estime</w:t>
            </w:r>
            <w:r>
              <w:rPr>
                <w:rFonts w:ascii="Calibri" w:cs="Calibri" w:eastAsia="Calibri" w:hAnsi="Calibri"/>
                <w:b/>
                <w:bCs/>
                <w:color w:val="2E75B6"/>
                <w:sz w:val="17"/>
                <w:szCs w:val="17"/>
              </w:rPr>
              <w:t xml:space="preserve">④</w:t>
            </w:r>
            <w:r>
              <w:rPr>
                <w:rFonts w:ascii="Calibri" w:cs="Calibri" w:eastAsia="Calibri" w:hAnsi="Calibri"/>
                <w:sz w:val="19"/>
                <w:szCs w:val="19"/>
              </w:rPr>
              <w:t xml:space="preserve">, et s’entretient non tant par bienfaits que par la bonne vie. Ce qui rend un ami assuré de l’autre, c’est la connaissance qu’il a de son intégrité.</w:t>
            </w:r>
          </w:p>
        </w:tc>
        <w:tc>
          <w:tcPr>
            <w:tcW w:type="dxa" w:w="4746"/>
            <w:tcBorders>
              <w:top w:val="single" w:color="BFBFBF" w:sz="4"/>
              <w:left w:val="single" w:color="BFBFBF" w:sz="4"/>
              <w:bottom w:val="single" w:color="BFBFBF" w:sz="4"/>
              <w:right w:val="single" w:color="BFBFBF" w:sz="4"/>
            </w:tcBorders>
            <w:shd w:fill="F3F8FD" w:color="auto" w:val="clear"/>
            <w:tcMar>
              <w:top w:type="dxa" w:w="60"/>
              <w:left w:type="dxa" w:w="110"/>
              <w:bottom w:type="dxa" w:w="40"/>
              <w:right w:type="dxa" w:w="100"/>
            </w:tcMar>
          </w:tcPr>
          <w:p>
            <w:pPr>
              <w:spacing w:after="40" w:line="240"/>
            </w:pPr>
            <w:r>
              <w:rPr>
                <w:rFonts w:ascii="Calibri" w:cs="Calibri" w:eastAsia="Calibri" w:hAnsi="Calibri"/>
                <w:b/>
                <w:bCs/>
                <w:color w:val="2E75B6"/>
                <w:sz w:val="17"/>
                <w:szCs w:val="17"/>
              </w:rPr>
              <w:t xml:space="preserve">① </w:t>
            </w:r>
            <w:r>
              <w:rPr>
                <w:rFonts w:ascii="Calibri" w:cs="Calibri" w:eastAsia="Calibri" w:hAnsi="Calibri"/>
                <w:b/>
                <w:bCs/>
                <w:color w:val="2E75B6"/>
                <w:sz w:val="17"/>
                <w:szCs w:val="17"/>
              </w:rPr>
              <w:t xml:space="preserve">Chiasme + parallélisme + double négation</w:t>
            </w:r>
            <w:r>
              <w:rPr>
                <w:rFonts w:ascii="Calibri" w:cs="Calibri" w:eastAsia="Calibri" w:hAnsi="Calibri"/>
                <w:color w:val="404040"/>
                <w:sz w:val="17"/>
                <w:szCs w:val="17"/>
              </w:rPr>
              <w:t xml:space="preserve"> → </w:t>
            </w:r>
            <w:r>
              <w:rPr>
                <w:rFonts w:ascii="Calibri" w:cs="Calibri" w:eastAsia="Calibri" w:hAnsi="Calibri"/>
                <w:color w:val="262626"/>
                <w:sz w:val="17"/>
                <w:szCs w:val="17"/>
              </w:rPr>
              <w:t xml:space="preserve">« jamais » ; isolement affectif total, réciprocité impossible</w:t>
            </w:r>
          </w:p>
          <w:p>
            <w:pPr>
              <w:spacing w:after="40" w:line="240"/>
            </w:pPr>
            <w:r>
              <w:rPr>
                <w:rFonts w:ascii="Calibri" w:cs="Calibri" w:eastAsia="Calibri" w:hAnsi="Calibri"/>
                <w:b/>
                <w:bCs/>
                <w:color w:val="2E75B6"/>
                <w:sz w:val="17"/>
                <w:szCs w:val="17"/>
              </w:rPr>
              <w:t xml:space="preserve">② </w:t>
            </w:r>
            <w:r>
              <w:rPr>
                <w:rFonts w:ascii="Calibri" w:cs="Calibri" w:eastAsia="Calibri" w:hAnsi="Calibri"/>
                <w:b/>
                <w:bCs/>
                <w:color w:val="2E75B6"/>
                <w:sz w:val="17"/>
                <w:szCs w:val="17"/>
              </w:rPr>
              <w:t xml:space="preserve">Métaphore religieuse + présentatif répété</w:t>
            </w:r>
            <w:r>
              <w:rPr>
                <w:rFonts w:ascii="Calibri" w:cs="Calibri" w:eastAsia="Calibri" w:hAnsi="Calibri"/>
                <w:color w:val="404040"/>
                <w:sz w:val="17"/>
                <w:szCs w:val="17"/>
              </w:rPr>
              <w:t xml:space="preserve"> → </w:t>
            </w:r>
            <w:r>
              <w:rPr>
                <w:rFonts w:ascii="Calibri" w:cs="Calibri" w:eastAsia="Calibri" w:hAnsi="Calibri"/>
                <w:color w:val="262626"/>
                <w:sz w:val="17"/>
                <w:szCs w:val="17"/>
              </w:rPr>
              <w:t xml:space="preserve">amitié sacralisée, valeur suprême ; tyrannie = profane, bassement matérielle</w:t>
            </w:r>
          </w:p>
          <w:p>
            <w:pPr>
              <w:spacing w:after="40" w:line="240"/>
            </w:pPr>
            <w:r>
              <w:rPr>
                <w:rFonts w:ascii="Calibri" w:cs="Calibri" w:eastAsia="Calibri" w:hAnsi="Calibri"/>
                <w:b/>
                <w:bCs/>
                <w:color w:val="2E75B6"/>
                <w:sz w:val="17"/>
                <w:szCs w:val="17"/>
              </w:rPr>
              <w:t xml:space="preserve">③ </w:t>
            </w:r>
            <w:r>
              <w:rPr>
                <w:rFonts w:ascii="Calibri" w:cs="Calibri" w:eastAsia="Calibri" w:hAnsi="Calibri"/>
                <w:b/>
                <w:bCs/>
                <w:color w:val="2E75B6"/>
                <w:sz w:val="17"/>
                <w:szCs w:val="17"/>
              </w:rPr>
              <w:t xml:space="preserve">Négation restrictive</w:t>
            </w:r>
            <w:r>
              <w:rPr>
                <w:rFonts w:ascii="Calibri" w:cs="Calibri" w:eastAsia="Calibri" w:hAnsi="Calibri"/>
                <w:color w:val="404040"/>
                <w:sz w:val="17"/>
                <w:szCs w:val="17"/>
              </w:rPr>
              <w:t xml:space="preserve"> → </w:t>
            </w:r>
            <w:r>
              <w:rPr>
                <w:rFonts w:ascii="Calibri" w:cs="Calibri" w:eastAsia="Calibri" w:hAnsi="Calibri"/>
                <w:color w:val="262626"/>
                <w:sz w:val="17"/>
                <w:szCs w:val="17"/>
              </w:rPr>
              <w:t xml:space="preserve">frontière morale : exclut le tyran</w:t>
            </w:r>
          </w:p>
          <w:p>
            <w:pPr>
              <w:spacing w:after="40" w:line="240"/>
            </w:pPr>
            <w:r>
              <w:rPr>
                <w:rFonts w:ascii="Calibri" w:cs="Calibri" w:eastAsia="Calibri" w:hAnsi="Calibri"/>
                <w:b/>
                <w:bCs/>
                <w:color w:val="2E75B6"/>
                <w:sz w:val="17"/>
                <w:szCs w:val="17"/>
              </w:rPr>
              <w:t xml:space="preserve">④ </w:t>
            </w:r>
            <w:r>
              <w:rPr>
                <w:rFonts w:ascii="Calibri" w:cs="Calibri" w:eastAsia="Calibri" w:hAnsi="Calibri"/>
                <w:b/>
                <w:bCs/>
                <w:color w:val="2E75B6"/>
                <w:sz w:val="17"/>
                <w:szCs w:val="17"/>
              </w:rPr>
              <w:t xml:space="preserve">Lexique de la réciprocité</w:t>
            </w:r>
            <w:r>
              <w:rPr>
                <w:rFonts w:ascii="Calibri" w:cs="Calibri" w:eastAsia="Calibri" w:hAnsi="Calibri"/>
                <w:color w:val="404040"/>
                <w:sz w:val="17"/>
                <w:szCs w:val="17"/>
              </w:rPr>
              <w:t xml:space="preserve"> → </w:t>
            </w:r>
            <w:r>
              <w:rPr>
                <w:rFonts w:ascii="Calibri" w:cs="Calibri" w:eastAsia="Calibri" w:hAnsi="Calibri"/>
                <w:color w:val="262626"/>
                <w:sz w:val="17"/>
                <w:szCs w:val="17"/>
              </w:rPr>
              <w:t xml:space="preserve">estime mutuelle, égalité ; amitié </w:t>
            </w:r>
            <w:r>
              <w:rPr>
                <w:rFonts w:ascii="Calibri" w:cs="Calibri" w:eastAsia="Calibri" w:hAnsi="Calibri"/>
                <w:b/>
                <w:bCs/>
                <w:color w:val="262626"/>
                <w:sz w:val="17"/>
                <w:szCs w:val="17"/>
              </w:rPr>
              <w:t xml:space="preserve">gratuite</w:t>
            </w:r>
            <w:r>
              <w:rPr>
                <w:rFonts w:ascii="Calibri" w:cs="Calibri" w:eastAsia="Calibri" w:hAnsi="Calibri"/>
                <w:color w:val="262626"/>
                <w:sz w:val="17"/>
                <w:szCs w:val="17"/>
              </w:rPr>
              <w:t xml:space="preserve"> (vertu, pas bienfaits qui « achètent »)</w:t>
            </w:r>
          </w:p>
        </w:tc>
      </w:tr>
      <w:tr>
        <w:trPr>
          <w:cantSplit/>
        </w:trPr>
        <w:tc>
          <w:tcPr>
            <w:tcW w:type="dxa" w:w="5572"/>
            <w:tcBorders>
              <w:top w:val="single" w:color="BFBFBF" w:sz="4"/>
              <w:left w:val="single" w:color="2E75B6" w:sz="24"/>
              <w:bottom w:val="single" w:color="BFBFBF" w:sz="4"/>
              <w:right w:val="single" w:color="BFBFBF" w:sz="4"/>
            </w:tcBorders>
            <w:tcMar>
              <w:top w:type="dxa" w:w="60"/>
              <w:left w:type="dxa" w:w="120"/>
              <w:bottom w:type="dxa" w:w="60"/>
              <w:right w:type="dxa" w:w="120"/>
            </w:tcMar>
          </w:tcPr>
          <w:p>
            <w:pPr>
              <w:spacing w:line="255"/>
              <w:jc w:val="both"/>
            </w:pPr>
            <w:r>
              <w:rPr>
                <w:rFonts w:ascii="Calibri" w:cs="Calibri" w:eastAsia="Calibri" w:hAnsi="Calibri"/>
                <w:sz w:val="19"/>
                <w:szCs w:val="19"/>
              </w:rPr>
              <w:t xml:space="preserve">Il a, pour garants, </w:t>
            </w:r>
            <w:r>
              <w:rPr>
                <w:rFonts w:ascii="Calibri" w:cs="Calibri" w:eastAsia="Calibri" w:hAnsi="Calibri"/>
                <w:b/>
                <w:bCs/>
                <w:sz w:val="19"/>
                <w:szCs w:val="19"/>
                <w:shd w:fill="BDD7EE" w:color="auto" w:val="clear"/>
              </w:rPr>
              <w:t xml:space="preserve">son bon naturel, sa foi, sa constance</w:t>
            </w:r>
            <w:r>
              <w:rPr>
                <w:rFonts w:ascii="Calibri" w:cs="Calibri" w:eastAsia="Calibri" w:hAnsi="Calibri"/>
                <w:b/>
                <w:bCs/>
                <w:color w:val="2E75B6"/>
                <w:sz w:val="17"/>
                <w:szCs w:val="17"/>
              </w:rPr>
              <w:t xml:space="preserve">⑤</w:t>
            </w:r>
            <w:r>
              <w:rPr>
                <w:rFonts w:ascii="Calibri" w:cs="Calibri" w:eastAsia="Calibri" w:hAnsi="Calibri"/>
                <w:sz w:val="19"/>
                <w:szCs w:val="19"/>
              </w:rPr>
              <w:t xml:space="preserve">. Il ne peut y avoir d’amitié </w:t>
            </w:r>
            <w:r>
              <w:rPr>
                <w:rFonts w:ascii="Calibri" w:cs="Calibri" w:eastAsia="Calibri" w:hAnsi="Calibri"/>
                <w:b/>
                <w:bCs/>
                <w:sz w:val="19"/>
                <w:szCs w:val="19"/>
                <w:shd w:fill="BDD7EE" w:color="auto" w:val="clear"/>
              </w:rPr>
              <w:t xml:space="preserve">là où est la cruauté, là où est la déloyauté, là où est l’injustice</w:t>
            </w:r>
            <w:r>
              <w:rPr>
                <w:rFonts w:ascii="Calibri" w:cs="Calibri" w:eastAsia="Calibri" w:hAnsi="Calibri"/>
                <w:b/>
                <w:bCs/>
                <w:color w:val="2E75B6"/>
                <w:sz w:val="17"/>
                <w:szCs w:val="17"/>
              </w:rPr>
              <w:t xml:space="preserve">⑥</w:t>
            </w:r>
            <w:r>
              <w:rPr>
                <w:rFonts w:ascii="Calibri" w:cs="Calibri" w:eastAsia="Calibri" w:hAnsi="Calibri"/>
                <w:sz w:val="19"/>
                <w:szCs w:val="19"/>
              </w:rPr>
              <w:t xml:space="preserve">. Entre méchants, quand ils s’assemblent, c’est un complot, non une compagnie ; </w:t>
            </w:r>
            <w:r>
              <w:rPr>
                <w:rFonts w:ascii="Calibri" w:cs="Calibri" w:eastAsia="Calibri" w:hAnsi="Calibri"/>
                <w:b/>
                <w:bCs/>
                <w:sz w:val="19"/>
                <w:szCs w:val="19"/>
                <w:shd w:fill="BDD7EE" w:color="auto" w:val="clear"/>
              </w:rPr>
              <w:t xml:space="preserve">ils ne s’entraiment pas, mais ils s’entrecraignent</w:t>
            </w:r>
            <w:r>
              <w:rPr>
                <w:rFonts w:ascii="Calibri" w:cs="Calibri" w:eastAsia="Calibri" w:hAnsi="Calibri"/>
                <w:b/>
                <w:bCs/>
                <w:color w:val="2E75B6"/>
                <w:sz w:val="17"/>
                <w:szCs w:val="17"/>
              </w:rPr>
              <w:t xml:space="preserve">⑦</w:t>
            </w:r>
            <w:r>
              <w:rPr>
                <w:rFonts w:ascii="Calibri" w:cs="Calibri" w:eastAsia="Calibri" w:hAnsi="Calibri"/>
                <w:sz w:val="19"/>
                <w:szCs w:val="19"/>
              </w:rPr>
              <w:t xml:space="preserve"> ; ils ne sont pas amis, mais ils sont complices.</w:t>
            </w:r>
          </w:p>
        </w:tc>
        <w:tc>
          <w:tcPr>
            <w:tcW w:type="dxa" w:w="4746"/>
            <w:tcBorders>
              <w:top w:val="single" w:color="BFBFBF" w:sz="4"/>
              <w:left w:val="single" w:color="BFBFBF" w:sz="4"/>
              <w:bottom w:val="single" w:color="BFBFBF" w:sz="4"/>
              <w:right w:val="single" w:color="BFBFBF" w:sz="4"/>
            </w:tcBorders>
            <w:shd w:fill="F3F8FD" w:color="auto" w:val="clear"/>
            <w:tcMar>
              <w:top w:type="dxa" w:w="60"/>
              <w:left w:type="dxa" w:w="110"/>
              <w:bottom w:type="dxa" w:w="40"/>
              <w:right w:type="dxa" w:w="100"/>
            </w:tcMar>
          </w:tcPr>
          <w:p>
            <w:pPr>
              <w:spacing w:after="40" w:line="240"/>
            </w:pPr>
            <w:r>
              <w:rPr>
                <w:rFonts w:ascii="Calibri" w:cs="Calibri" w:eastAsia="Calibri" w:hAnsi="Calibri"/>
                <w:b/>
                <w:bCs/>
                <w:color w:val="2E75B6"/>
                <w:sz w:val="17"/>
                <w:szCs w:val="17"/>
              </w:rPr>
              <w:t xml:space="preserve">⑤ </w:t>
            </w:r>
            <w:r>
              <w:rPr>
                <w:rFonts w:ascii="Calibri" w:cs="Calibri" w:eastAsia="Calibri" w:hAnsi="Calibri"/>
                <w:b/>
                <w:bCs/>
                <w:color w:val="2E75B6"/>
                <w:sz w:val="17"/>
                <w:szCs w:val="17"/>
              </w:rPr>
              <w:t xml:space="preserve">Rythme ternaire</w:t>
            </w:r>
            <w:r>
              <w:rPr>
                <w:rFonts w:ascii="Calibri" w:cs="Calibri" w:eastAsia="Calibri" w:hAnsi="Calibri"/>
                <w:color w:val="404040"/>
                <w:sz w:val="17"/>
                <w:szCs w:val="17"/>
              </w:rPr>
              <w:t xml:space="preserve"> → </w:t>
            </w:r>
            <w:r>
              <w:rPr>
                <w:rFonts w:ascii="Calibri" w:cs="Calibri" w:eastAsia="Calibri" w:hAnsi="Calibri"/>
                <w:color w:val="262626"/>
                <w:sz w:val="17"/>
                <w:szCs w:val="17"/>
              </w:rPr>
              <w:t xml:space="preserve">trois vertus de l’ami ; musicalité</w:t>
            </w:r>
          </w:p>
          <w:p>
            <w:pPr>
              <w:spacing w:after="40" w:line="240"/>
            </w:pPr>
            <w:r>
              <w:rPr>
                <w:rFonts w:ascii="Calibri" w:cs="Calibri" w:eastAsia="Calibri" w:hAnsi="Calibri"/>
                <w:b/>
                <w:bCs/>
                <w:color w:val="2E75B6"/>
                <w:sz w:val="17"/>
                <w:szCs w:val="17"/>
              </w:rPr>
              <w:t xml:space="preserve">⑥ </w:t>
            </w:r>
            <w:r>
              <w:rPr>
                <w:rFonts w:ascii="Calibri" w:cs="Calibri" w:eastAsia="Calibri" w:hAnsi="Calibri"/>
                <w:b/>
                <w:bCs/>
                <w:color w:val="2E75B6"/>
                <w:sz w:val="17"/>
                <w:szCs w:val="17"/>
              </w:rPr>
              <w:t xml:space="preserve">Anaphore « là où est » + parallélisme</w:t>
            </w:r>
            <w:r>
              <w:rPr>
                <w:rFonts w:ascii="Calibri" w:cs="Calibri" w:eastAsia="Calibri" w:hAnsi="Calibri"/>
                <w:color w:val="404040"/>
                <w:sz w:val="17"/>
                <w:szCs w:val="17"/>
              </w:rPr>
              <w:t xml:space="preserve"> → </w:t>
            </w:r>
            <w:r>
              <w:rPr>
                <w:rFonts w:ascii="Calibri" w:cs="Calibri" w:eastAsia="Calibri" w:hAnsi="Calibri"/>
                <w:color w:val="262626"/>
                <w:sz w:val="17"/>
                <w:szCs w:val="17"/>
              </w:rPr>
              <w:t xml:space="preserve">trois vices = portrait du tyran</w:t>
            </w:r>
          </w:p>
          <w:p>
            <w:pPr>
              <w:spacing w:after="40" w:line="240"/>
            </w:pPr>
            <w:r>
              <w:rPr>
                <w:rFonts w:ascii="Calibri" w:cs="Calibri" w:eastAsia="Calibri" w:hAnsi="Calibri"/>
                <w:b/>
                <w:bCs/>
                <w:color w:val="2E75B6"/>
                <w:sz w:val="17"/>
                <w:szCs w:val="17"/>
              </w:rPr>
              <w:t xml:space="preserve">⑦ </w:t>
            </w:r>
            <w:r>
              <w:rPr>
                <w:rFonts w:ascii="Calibri" w:cs="Calibri" w:eastAsia="Calibri" w:hAnsi="Calibri"/>
                <w:b/>
                <w:bCs/>
                <w:color w:val="2E75B6"/>
                <w:sz w:val="17"/>
                <w:szCs w:val="17"/>
              </w:rPr>
              <w:t xml:space="preserve">Épanorthose + néologismes</w:t>
            </w:r>
            <w:r>
              <w:rPr>
                <w:rFonts w:ascii="Calibri" w:cs="Calibri" w:eastAsia="Calibri" w:hAnsi="Calibri"/>
                <w:color w:val="404040"/>
                <w:sz w:val="17"/>
                <w:szCs w:val="17"/>
              </w:rPr>
              <w:t xml:space="preserve"> → </w:t>
            </w:r>
            <w:r>
              <w:rPr>
                <w:rFonts w:ascii="Calibri" w:cs="Calibri" w:eastAsia="Calibri" w:hAnsi="Calibri"/>
                <w:color w:val="262626"/>
                <w:sz w:val="17"/>
                <w:szCs w:val="17"/>
              </w:rPr>
              <w:t xml:space="preserve">s’entraiment / s’entrecraignent ; présent de vérité générale : </w:t>
            </w:r>
            <w:r>
              <w:rPr>
                <w:rFonts w:ascii="Calibri" w:cs="Calibri" w:eastAsia="Calibri" w:hAnsi="Calibri"/>
                <w:b/>
                <w:bCs/>
                <w:color w:val="262626"/>
                <w:sz w:val="17"/>
                <w:szCs w:val="17"/>
              </w:rPr>
              <w:t xml:space="preserve">complicité ≠ amitié</w:t>
            </w:r>
            <w:r>
              <w:rPr>
                <w:rFonts w:ascii="Calibri" w:cs="Calibri" w:eastAsia="Calibri" w:hAnsi="Calibri"/>
                <w:color w:val="262626"/>
                <w:sz w:val="17"/>
                <w:szCs w:val="17"/>
              </w:rPr>
              <w:t xml:space="preserve">, lien fondé sur la peur</w:t>
            </w:r>
          </w:p>
        </w:tc>
      </w:tr>
      <w:tr>
        <w:trPr>
          <w:cantSplit/>
        </w:trPr>
        <w:tc>
          <w:tcPr>
            <w:tcW w:type="dxa" w:w="5572"/>
            <w:tcBorders>
              <w:top w:val="single" w:color="BFBFBF" w:sz="4"/>
              <w:left w:val="single" w:color="2E75B6" w:sz="24"/>
              <w:bottom w:val="single" w:color="BFBFBF" w:sz="4"/>
              <w:right w:val="single" w:color="BFBFBF" w:sz="4"/>
            </w:tcBorders>
            <w:tcMar>
              <w:top w:type="dxa" w:w="60"/>
              <w:left w:type="dxa" w:w="120"/>
              <w:bottom w:type="dxa" w:w="60"/>
              <w:right w:type="dxa" w:w="120"/>
            </w:tcMar>
          </w:tcPr>
          <w:p>
            <w:pPr>
              <w:spacing w:line="255"/>
              <w:jc w:val="both"/>
            </w:pPr>
            <w:r>
              <w:rPr>
                <w:rFonts w:ascii="Calibri" w:cs="Calibri" w:eastAsia="Calibri" w:hAnsi="Calibri"/>
                <w:b/>
                <w:bCs/>
                <w:sz w:val="19"/>
                <w:szCs w:val="19"/>
                <w:shd w:fill="BDD7EE" w:color="auto" w:val="clear"/>
              </w:rPr>
              <w:t xml:space="preserve">Or quand bien même cet empêchement n’existerait pas</w:t>
            </w:r>
            <w:r>
              <w:rPr>
                <w:rFonts w:ascii="Calibri" w:cs="Calibri" w:eastAsia="Calibri" w:hAnsi="Calibri"/>
                <w:b/>
                <w:bCs/>
                <w:color w:val="2E75B6"/>
                <w:sz w:val="17"/>
                <w:szCs w:val="17"/>
              </w:rPr>
              <w:t xml:space="preserve">⑧</w:t>
            </w:r>
            <w:r>
              <w:rPr>
                <w:rFonts w:ascii="Calibri" w:cs="Calibri" w:eastAsia="Calibri" w:hAnsi="Calibri"/>
                <w:sz w:val="19"/>
                <w:szCs w:val="19"/>
              </w:rPr>
              <w:t xml:space="preserve">, il serait difficile de trouver en un tyran une amitié solide, parce qu’</w:t>
            </w:r>
            <w:r>
              <w:rPr>
                <w:rFonts w:ascii="Calibri" w:cs="Calibri" w:eastAsia="Calibri" w:hAnsi="Calibri"/>
                <w:b/>
                <w:bCs/>
                <w:sz w:val="19"/>
                <w:szCs w:val="19"/>
                <w:shd w:fill="BDD7EE" w:color="auto" w:val="clear"/>
              </w:rPr>
              <w:t xml:space="preserve">étant au-dessus de tous et n’ayant point de pair, il se trouve déjà au-delà des bornes de l’amitié</w:t>
            </w:r>
            <w:r>
              <w:rPr>
                <w:rFonts w:ascii="Calibri" w:cs="Calibri" w:eastAsia="Calibri" w:hAnsi="Calibri"/>
                <w:b/>
                <w:bCs/>
                <w:color w:val="2E75B6"/>
                <w:sz w:val="17"/>
                <w:szCs w:val="17"/>
              </w:rPr>
              <w:t xml:space="preserve">⑨</w:t>
            </w:r>
            <w:r>
              <w:rPr>
                <w:rFonts w:ascii="Calibri" w:cs="Calibri" w:eastAsia="Calibri" w:hAnsi="Calibri"/>
                <w:sz w:val="19"/>
                <w:szCs w:val="19"/>
              </w:rPr>
              <w:t xml:space="preserve">, qui a son vrai gibier en l’égalité, </w:t>
            </w:r>
            <w:r>
              <w:rPr>
                <w:rFonts w:ascii="Calibri" w:cs="Calibri" w:eastAsia="Calibri" w:hAnsi="Calibri"/>
                <w:b/>
                <w:bCs/>
                <w:sz w:val="19"/>
                <w:szCs w:val="19"/>
                <w:shd w:fill="BDD7EE" w:color="auto" w:val="clear"/>
              </w:rPr>
              <w:t xml:space="preserve">dont la marche ne veut jamais clocher, mais est toujours égale</w:t>
            </w:r>
            <w:r>
              <w:rPr>
                <w:rFonts w:ascii="Calibri" w:cs="Calibri" w:eastAsia="Calibri" w:hAnsi="Calibri"/>
                <w:b/>
                <w:bCs/>
                <w:color w:val="2E75B6"/>
                <w:sz w:val="17"/>
                <w:szCs w:val="17"/>
              </w:rPr>
              <w:t xml:space="preserve">⑩</w:t>
            </w:r>
            <w:r>
              <w:rPr>
                <w:rFonts w:ascii="Calibri" w:cs="Calibri" w:eastAsia="Calibri" w:hAnsi="Calibri"/>
                <w:sz w:val="19"/>
                <w:szCs w:val="19"/>
              </w:rPr>
              <w:t xml:space="preserve">.</w:t>
            </w:r>
          </w:p>
        </w:tc>
        <w:tc>
          <w:tcPr>
            <w:tcW w:type="dxa" w:w="4746"/>
            <w:tcBorders>
              <w:top w:val="single" w:color="BFBFBF" w:sz="4"/>
              <w:left w:val="single" w:color="BFBFBF" w:sz="4"/>
              <w:bottom w:val="single" w:color="BFBFBF" w:sz="4"/>
              <w:right w:val="single" w:color="BFBFBF" w:sz="4"/>
            </w:tcBorders>
            <w:shd w:fill="F3F8FD" w:color="auto" w:val="clear"/>
            <w:tcMar>
              <w:top w:type="dxa" w:w="60"/>
              <w:left w:type="dxa" w:w="110"/>
              <w:bottom w:type="dxa" w:w="40"/>
              <w:right w:type="dxa" w:w="100"/>
            </w:tcMar>
          </w:tcPr>
          <w:p>
            <w:pPr>
              <w:spacing w:after="40" w:line="240"/>
            </w:pPr>
            <w:r>
              <w:rPr>
                <w:rFonts w:ascii="Calibri" w:cs="Calibri" w:eastAsia="Calibri" w:hAnsi="Calibri"/>
                <w:b/>
                <w:bCs/>
                <w:color w:val="2E75B6"/>
                <w:sz w:val="17"/>
                <w:szCs w:val="17"/>
              </w:rPr>
              <w:t xml:space="preserve">⑧ </w:t>
            </w:r>
            <w:r>
              <w:rPr>
                <w:rFonts w:ascii="Calibri" w:cs="Calibri" w:eastAsia="Calibri" w:hAnsi="Calibri"/>
                <w:b/>
                <w:bCs/>
                <w:color w:val="2E75B6"/>
                <w:sz w:val="17"/>
                <w:szCs w:val="17"/>
              </w:rPr>
              <w:t xml:space="preserve">Concession + conditionnel</w:t>
            </w:r>
            <w:r>
              <w:rPr>
                <w:rFonts w:ascii="Calibri" w:cs="Calibri" w:eastAsia="Calibri" w:hAnsi="Calibri"/>
                <w:color w:val="404040"/>
                <w:sz w:val="17"/>
                <w:szCs w:val="17"/>
              </w:rPr>
              <w:t xml:space="preserve"> → </w:t>
            </w:r>
            <w:r>
              <w:rPr>
                <w:rFonts w:ascii="Calibri" w:cs="Calibri" w:eastAsia="Calibri" w:hAnsi="Calibri"/>
                <w:color w:val="262626"/>
                <w:sz w:val="17"/>
                <w:szCs w:val="17"/>
              </w:rPr>
              <w:t xml:space="preserve">anticipe l’objection pour renforcer l’argument</w:t>
            </w:r>
          </w:p>
          <w:p>
            <w:pPr>
              <w:spacing w:after="40" w:line="240"/>
            </w:pPr>
            <w:r>
              <w:rPr>
                <w:rFonts w:ascii="Calibri" w:cs="Calibri" w:eastAsia="Calibri" w:hAnsi="Calibri"/>
                <w:b/>
                <w:bCs/>
                <w:color w:val="2E75B6"/>
                <w:sz w:val="17"/>
                <w:szCs w:val="17"/>
              </w:rPr>
              <w:t xml:space="preserve">⑨ </w:t>
            </w:r>
            <w:r>
              <w:rPr>
                <w:rFonts w:ascii="Calibri" w:cs="Calibri" w:eastAsia="Calibri" w:hAnsi="Calibri"/>
                <w:b/>
                <w:bCs/>
                <w:color w:val="2E75B6"/>
                <w:sz w:val="17"/>
                <w:szCs w:val="17"/>
              </w:rPr>
              <w:t xml:space="preserve">Métaphore spatiale</w:t>
            </w:r>
            <w:r>
              <w:rPr>
                <w:rFonts w:ascii="Calibri" w:cs="Calibri" w:eastAsia="Calibri" w:hAnsi="Calibri"/>
                <w:color w:val="404040"/>
                <w:sz w:val="17"/>
                <w:szCs w:val="17"/>
              </w:rPr>
              <w:t xml:space="preserve"> → </w:t>
            </w:r>
            <w:r>
              <w:rPr>
                <w:rFonts w:ascii="Calibri" w:cs="Calibri" w:eastAsia="Calibri" w:hAnsi="Calibri"/>
                <w:color w:val="262626"/>
                <w:sz w:val="17"/>
                <w:szCs w:val="17"/>
              </w:rPr>
              <w:t xml:space="preserve">tyran au sommet, isolé : aucune égalité possible</w:t>
            </w:r>
          </w:p>
          <w:p>
            <w:pPr>
              <w:spacing w:after="40" w:line="240"/>
            </w:pPr>
            <w:r>
              <w:rPr>
                <w:rFonts w:ascii="Calibri" w:cs="Calibri" w:eastAsia="Calibri" w:hAnsi="Calibri"/>
                <w:b/>
                <w:bCs/>
                <w:color w:val="2E75B6"/>
                <w:sz w:val="17"/>
                <w:szCs w:val="17"/>
              </w:rPr>
              <w:t xml:space="preserve">⑩ </w:t>
            </w:r>
            <w:r>
              <w:rPr>
                <w:rFonts w:ascii="Calibri" w:cs="Calibri" w:eastAsia="Calibri" w:hAnsi="Calibri"/>
                <w:b/>
                <w:bCs/>
                <w:color w:val="2E75B6"/>
                <w:sz w:val="17"/>
                <w:szCs w:val="17"/>
              </w:rPr>
              <w:t xml:space="preserve">Métaphore de la marche</w:t>
            </w:r>
            <w:r>
              <w:rPr>
                <w:rFonts w:ascii="Calibri" w:cs="Calibri" w:eastAsia="Calibri" w:hAnsi="Calibri"/>
                <w:color w:val="404040"/>
                <w:sz w:val="17"/>
                <w:szCs w:val="17"/>
              </w:rPr>
              <w:t xml:space="preserve"> → </w:t>
            </w:r>
            <w:r>
              <w:rPr>
                <w:rFonts w:ascii="Calibri" w:cs="Calibri" w:eastAsia="Calibri" w:hAnsi="Calibri"/>
                <w:color w:val="262626"/>
                <w:sz w:val="17"/>
                <w:szCs w:val="17"/>
              </w:rPr>
              <w:t xml:space="preserve">« clocher » = boiter : l’amitié = harmonie, égalité</w:t>
            </w:r>
          </w:p>
        </w:tc>
      </w:tr>
    </w:tbl>
    <w:p>
      <w:pPr>
        <w:keepNext/>
        <w:shd w:fill="C55A11" w:color="auto" w:val="clear"/>
        <w:spacing w:after="0" w:before="100"/>
      </w:pPr>
      <w:r>
        <w:rPr>
          <w:rFonts w:ascii="Calibri" w:cs="Calibri" w:eastAsia="Calibri" w:hAnsi="Calibri"/>
          <w:b/>
          <w:bCs/>
          <w:color w:val="FFFFFF"/>
          <w:sz w:val="21"/>
          <w:szCs w:val="21"/>
        </w:rPr>
        <w:t xml:space="preserve"> 2e mouvement — Le tyran et les voleurs : une analogie cruelle</w:t>
      </w:r>
    </w:p>
    <w:tbl>
      <w:tblPr>
        <w:tblW w:type="dxa" w:w="10318"/>
        <w:tblBorders>
          <w:top w:val="single" w:color="auto" w:sz="4"/>
          <w:left w:val="single" w:color="auto" w:sz="4"/>
          <w:bottom w:val="single" w:color="auto" w:sz="4"/>
          <w:right w:val="single" w:color="auto" w:sz="4"/>
          <w:insideH w:val="single" w:color="auto" w:sz="4"/>
          <w:insideV w:val="single" w:color="auto" w:sz="4"/>
        </w:tblBorders>
      </w:tblPr>
      <w:tblGrid>
        <w:gridCol w:w="5572"/>
        <w:gridCol w:w="4746"/>
      </w:tblGrid>
      <w:tr>
        <w:trPr>
          <w:cantSplit/>
        </w:trPr>
        <w:tc>
          <w:tcPr>
            <w:tcW w:type="dxa" w:w="5572"/>
            <w:tcBorders>
              <w:top w:val="single" w:color="BFBFBF" w:sz="4"/>
              <w:left w:val="single" w:color="C55A11" w:sz="24"/>
              <w:bottom w:val="single" w:color="BFBFBF" w:sz="4"/>
              <w:right w:val="single" w:color="BFBFBF" w:sz="4"/>
            </w:tcBorders>
            <w:tcMar>
              <w:top w:type="dxa" w:w="60"/>
              <w:left w:type="dxa" w:w="120"/>
              <w:bottom w:type="dxa" w:w="60"/>
              <w:right w:type="dxa" w:w="120"/>
            </w:tcMar>
          </w:tcPr>
          <w:p>
            <w:pPr>
              <w:spacing w:line="255"/>
              <w:jc w:val="both"/>
            </w:pPr>
            <w:r>
              <w:rPr>
                <w:rFonts w:ascii="Calibri" w:cs="Calibri" w:eastAsia="Calibri" w:hAnsi="Calibri"/>
                <w:sz w:val="19"/>
                <w:szCs w:val="19"/>
              </w:rPr>
              <w:t xml:space="preserve">Voilà pourquoi il y a bien </w:t>
            </w:r>
            <w:r>
              <w:rPr>
                <w:rFonts w:ascii="Calibri" w:cs="Calibri" w:eastAsia="Calibri" w:hAnsi="Calibri"/>
                <w:b/>
                <w:bCs/>
                <w:sz w:val="19"/>
                <w:szCs w:val="19"/>
                <w:shd w:fill="F8CBAD" w:color="auto" w:val="clear"/>
              </w:rPr>
              <w:t xml:space="preserve">entre les voleurs (ce dit-on) quelque foi au partage du butin</w:t>
            </w:r>
            <w:r>
              <w:rPr>
                <w:rFonts w:ascii="Calibri" w:cs="Calibri" w:eastAsia="Calibri" w:hAnsi="Calibri"/>
                <w:b/>
                <w:bCs/>
                <w:color w:val="C55A11"/>
                <w:sz w:val="17"/>
                <w:szCs w:val="17"/>
              </w:rPr>
              <w:t xml:space="preserve">⑪</w:t>
            </w:r>
            <w:r>
              <w:rPr>
                <w:rFonts w:ascii="Calibri" w:cs="Calibri" w:eastAsia="Calibri" w:hAnsi="Calibri"/>
                <w:sz w:val="19"/>
                <w:szCs w:val="19"/>
              </w:rPr>
              <w:t xml:space="preserve">, parce qu’ils sont pairs et compagnons ; et </w:t>
            </w:r>
            <w:r>
              <w:rPr>
                <w:rFonts w:ascii="Calibri" w:cs="Calibri" w:eastAsia="Calibri" w:hAnsi="Calibri"/>
                <w:b/>
                <w:bCs/>
                <w:sz w:val="19"/>
                <w:szCs w:val="19"/>
                <w:shd w:fill="F8CBAD" w:color="auto" w:val="clear"/>
              </w:rPr>
              <w:t xml:space="preserve">s’ils ne s’entraiment pas, au moins, ils s’entrecraignent entre eux</w:t>
            </w:r>
            <w:r>
              <w:rPr>
                <w:rFonts w:ascii="Calibri" w:cs="Calibri" w:eastAsia="Calibri" w:hAnsi="Calibri"/>
                <w:b/>
                <w:bCs/>
                <w:color w:val="C55A11"/>
                <w:sz w:val="17"/>
                <w:szCs w:val="17"/>
              </w:rPr>
              <w:t xml:space="preserve">⑫</w:t>
            </w:r>
            <w:r>
              <w:rPr>
                <w:rFonts w:ascii="Calibri" w:cs="Calibri" w:eastAsia="Calibri" w:hAnsi="Calibri"/>
                <w:sz w:val="19"/>
                <w:szCs w:val="19"/>
              </w:rPr>
              <w:t xml:space="preserve"> et ne veulent pas, en se désunissant, amoindrir leur force.</w:t>
            </w:r>
          </w:p>
        </w:tc>
        <w:tc>
          <w:tcPr>
            <w:tcW w:type="dxa" w:w="4746"/>
            <w:tcBorders>
              <w:top w:val="single" w:color="BFBFBF" w:sz="4"/>
              <w:left w:val="single" w:color="BFBFBF" w:sz="4"/>
              <w:bottom w:val="single" w:color="BFBFBF" w:sz="4"/>
              <w:right w:val="single" w:color="BFBFBF" w:sz="4"/>
            </w:tcBorders>
            <w:shd w:fill="FDF5EF" w:color="auto" w:val="clear"/>
            <w:tcMar>
              <w:top w:type="dxa" w:w="60"/>
              <w:left w:type="dxa" w:w="110"/>
              <w:bottom w:type="dxa" w:w="40"/>
              <w:right w:type="dxa" w:w="100"/>
            </w:tcMar>
          </w:tcPr>
          <w:p>
            <w:pPr>
              <w:spacing w:after="40" w:line="240"/>
            </w:pPr>
            <w:r>
              <w:rPr>
                <w:rFonts w:ascii="Calibri" w:cs="Calibri" w:eastAsia="Calibri" w:hAnsi="Calibri"/>
                <w:b/>
                <w:bCs/>
                <w:color w:val="C55A11"/>
                <w:sz w:val="17"/>
                <w:szCs w:val="17"/>
              </w:rPr>
              <w:t xml:space="preserve">⑪ </w:t>
            </w:r>
            <w:r>
              <w:rPr>
                <w:rFonts w:ascii="Calibri" w:cs="Calibri" w:eastAsia="Calibri" w:hAnsi="Calibri"/>
                <w:b/>
                <w:bCs/>
                <w:color w:val="C55A11"/>
                <w:sz w:val="17"/>
                <w:szCs w:val="17"/>
              </w:rPr>
              <w:t xml:space="preserve">Analogie ironique</w:t>
            </w:r>
            <w:r>
              <w:rPr>
                <w:rFonts w:ascii="Calibri" w:cs="Calibri" w:eastAsia="Calibri" w:hAnsi="Calibri"/>
                <w:color w:val="404040"/>
                <w:sz w:val="17"/>
                <w:szCs w:val="17"/>
              </w:rPr>
              <w:t xml:space="preserve"> → </w:t>
            </w:r>
            <w:r>
              <w:rPr>
                <w:rFonts w:ascii="Calibri" w:cs="Calibri" w:eastAsia="Calibri" w:hAnsi="Calibri"/>
                <w:color w:val="262626"/>
                <w:sz w:val="17"/>
                <w:szCs w:val="17"/>
              </w:rPr>
              <w:t xml:space="preserve">même les voleurs sont égaux (« pairs et compagnons ») → presque supérieurs au tyran</w:t>
            </w:r>
          </w:p>
          <w:p>
            <w:pPr>
              <w:spacing w:after="40" w:line="240"/>
            </w:pPr>
            <w:r>
              <w:rPr>
                <w:rFonts w:ascii="Calibri" w:cs="Calibri" w:eastAsia="Calibri" w:hAnsi="Calibri"/>
                <w:b/>
                <w:bCs/>
                <w:color w:val="C55A11"/>
                <w:sz w:val="17"/>
                <w:szCs w:val="17"/>
              </w:rPr>
              <w:t xml:space="preserve">⑫ </w:t>
            </w:r>
            <w:r>
              <w:rPr>
                <w:rFonts w:ascii="Calibri" w:cs="Calibri" w:eastAsia="Calibri" w:hAnsi="Calibri"/>
                <w:b/>
                <w:bCs/>
                <w:color w:val="C55A11"/>
                <w:sz w:val="17"/>
                <w:szCs w:val="17"/>
              </w:rPr>
              <w:t xml:space="preserve">Épanorthose + néologisme</w:t>
            </w:r>
            <w:r>
              <w:rPr>
                <w:rFonts w:ascii="Calibri" w:cs="Calibri" w:eastAsia="Calibri" w:hAnsi="Calibri"/>
                <w:color w:val="404040"/>
                <w:sz w:val="17"/>
                <w:szCs w:val="17"/>
              </w:rPr>
              <w:t xml:space="preserve"> → </w:t>
            </w:r>
            <w:r>
              <w:rPr>
                <w:rFonts w:ascii="Calibri" w:cs="Calibri" w:eastAsia="Calibri" w:hAnsi="Calibri"/>
                <w:color w:val="262626"/>
                <w:sz w:val="17"/>
                <w:szCs w:val="17"/>
              </w:rPr>
              <w:t xml:space="preserve">fausse amitié fondée sur la </w:t>
            </w:r>
            <w:r>
              <w:rPr>
                <w:rFonts w:ascii="Calibri" w:cs="Calibri" w:eastAsia="Calibri" w:hAnsi="Calibri"/>
                <w:b/>
                <w:bCs/>
                <w:color w:val="262626"/>
                <w:sz w:val="17"/>
                <w:szCs w:val="17"/>
              </w:rPr>
              <w:t xml:space="preserve">crainte</w:t>
            </w:r>
            <w:r>
              <w:rPr>
                <w:rFonts w:ascii="Calibri" w:cs="Calibri" w:eastAsia="Calibri" w:hAnsi="Calibri"/>
                <w:color w:val="262626"/>
                <w:sz w:val="17"/>
                <w:szCs w:val="17"/>
              </w:rPr>
              <w:t xml:space="preserve"> et l’intérêt commun</w:t>
            </w:r>
          </w:p>
        </w:tc>
      </w:tr>
      <w:tr>
        <w:trPr>
          <w:cantSplit/>
        </w:trPr>
        <w:tc>
          <w:tcPr>
            <w:tcW w:type="dxa" w:w="5572"/>
            <w:tcBorders>
              <w:top w:val="single" w:color="BFBFBF" w:sz="4"/>
              <w:left w:val="single" w:color="C55A11" w:sz="24"/>
              <w:bottom w:val="single" w:color="BFBFBF" w:sz="4"/>
              <w:right w:val="single" w:color="BFBFBF" w:sz="4"/>
            </w:tcBorders>
            <w:tcMar>
              <w:top w:type="dxa" w:w="60"/>
              <w:left w:type="dxa" w:w="120"/>
              <w:bottom w:type="dxa" w:w="60"/>
              <w:right w:type="dxa" w:w="120"/>
            </w:tcMar>
          </w:tcPr>
          <w:p>
            <w:pPr>
              <w:spacing w:line="255"/>
              <w:jc w:val="both"/>
            </w:pPr>
            <w:r>
              <w:rPr>
                <w:rFonts w:ascii="Calibri" w:cs="Calibri" w:eastAsia="Calibri" w:hAnsi="Calibri"/>
                <w:sz w:val="19"/>
                <w:szCs w:val="19"/>
              </w:rPr>
              <w:t xml:space="preserve">Mais </w:t>
            </w:r>
            <w:r>
              <w:rPr>
                <w:rFonts w:ascii="Calibri" w:cs="Calibri" w:eastAsia="Calibri" w:hAnsi="Calibri"/>
                <w:b/>
                <w:bCs/>
                <w:sz w:val="19"/>
                <w:szCs w:val="19"/>
                <w:shd w:fill="F8CBAD" w:color="auto" w:val="clear"/>
              </w:rPr>
              <w:t xml:space="preserve">ceux qui sont les favoris d’un tyran ne peuvent jamais avoir aucune assurance de lui</w:t>
            </w:r>
            <w:r>
              <w:rPr>
                <w:rFonts w:ascii="Calibri" w:cs="Calibri" w:eastAsia="Calibri" w:hAnsi="Calibri"/>
                <w:b/>
                <w:bCs/>
                <w:color w:val="C55A11"/>
                <w:sz w:val="17"/>
                <w:szCs w:val="17"/>
              </w:rPr>
              <w:t xml:space="preserve">⑬</w:t>
            </w:r>
            <w:r>
              <w:rPr>
                <w:rFonts w:ascii="Calibri" w:cs="Calibri" w:eastAsia="Calibri" w:hAnsi="Calibri"/>
                <w:sz w:val="19"/>
                <w:szCs w:val="19"/>
              </w:rPr>
              <w:t xml:space="preserve">, </w:t>
            </w:r>
            <w:r>
              <w:rPr>
                <w:rFonts w:ascii="Calibri" w:cs="Calibri" w:eastAsia="Calibri" w:hAnsi="Calibri"/>
                <w:b/>
                <w:bCs/>
                <w:sz w:val="19"/>
                <w:szCs w:val="19"/>
                <w:shd w:fill="F8CBAD" w:color="auto" w:val="clear"/>
              </w:rPr>
              <w:t xml:space="preserve">parce qu’ils lui ont eux-mêmes appris qu’il peut tout, qu’il n’y a ni droit ni devoir qui l’oblige, qu’il est habitué à n’avoir pour raison que sa volonté, qu’il n’a point d’égal et qu’il est maître de tous</w:t>
            </w:r>
            <w:r>
              <w:rPr>
                <w:rFonts w:ascii="Calibri" w:cs="Calibri" w:eastAsia="Calibri" w:hAnsi="Calibri"/>
                <w:b/>
                <w:bCs/>
                <w:color w:val="C55A11"/>
                <w:sz w:val="17"/>
                <w:szCs w:val="17"/>
              </w:rPr>
              <w:t xml:space="preserve">⑭</w:t>
            </w:r>
            <w:r>
              <w:rPr>
                <w:rFonts w:ascii="Calibri" w:cs="Calibri" w:eastAsia="Calibri" w:hAnsi="Calibri"/>
                <w:sz w:val="19"/>
                <w:szCs w:val="19"/>
              </w:rPr>
              <w:t xml:space="preserve">.</w:t>
            </w:r>
          </w:p>
        </w:tc>
        <w:tc>
          <w:tcPr>
            <w:tcW w:type="dxa" w:w="4746"/>
            <w:tcBorders>
              <w:top w:val="single" w:color="BFBFBF" w:sz="4"/>
              <w:left w:val="single" w:color="BFBFBF" w:sz="4"/>
              <w:bottom w:val="single" w:color="BFBFBF" w:sz="4"/>
              <w:right w:val="single" w:color="BFBFBF" w:sz="4"/>
            </w:tcBorders>
            <w:shd w:fill="FDF5EF" w:color="auto" w:val="clear"/>
            <w:tcMar>
              <w:top w:type="dxa" w:w="60"/>
              <w:left w:type="dxa" w:w="110"/>
              <w:bottom w:type="dxa" w:w="40"/>
              <w:right w:type="dxa" w:w="100"/>
            </w:tcMar>
          </w:tcPr>
          <w:p>
            <w:pPr>
              <w:spacing w:after="40" w:line="240"/>
            </w:pPr>
            <w:r>
              <w:rPr>
                <w:rFonts w:ascii="Calibri" w:cs="Calibri" w:eastAsia="Calibri" w:hAnsi="Calibri"/>
                <w:b/>
                <w:bCs/>
                <w:color w:val="C55A11"/>
                <w:sz w:val="17"/>
                <w:szCs w:val="17"/>
              </w:rPr>
              <w:t xml:space="preserve">⑬ </w:t>
            </w:r>
            <w:r>
              <w:rPr>
                <w:rFonts w:ascii="Calibri" w:cs="Calibri" w:eastAsia="Calibri" w:hAnsi="Calibri"/>
                <w:b/>
                <w:bCs/>
                <w:color w:val="C55A11"/>
                <w:sz w:val="17"/>
                <w:szCs w:val="17"/>
              </w:rPr>
              <w:t xml:space="preserve">Négations</w:t>
            </w:r>
            <w:r>
              <w:rPr>
                <w:rFonts w:ascii="Calibri" w:cs="Calibri" w:eastAsia="Calibri" w:hAnsi="Calibri"/>
                <w:color w:val="404040"/>
                <w:sz w:val="17"/>
                <w:szCs w:val="17"/>
              </w:rPr>
              <w:t xml:space="preserve"> → </w:t>
            </w:r>
            <w:r>
              <w:rPr>
                <w:rFonts w:ascii="Calibri" w:cs="Calibri" w:eastAsia="Calibri" w:hAnsi="Calibri"/>
                <w:color w:val="262626"/>
                <w:sz w:val="17"/>
                <w:szCs w:val="17"/>
              </w:rPr>
              <w:t xml:space="preserve">vulnérabilité des favoris : le pouvoir menace ceux qui l’approchent</w:t>
            </w:r>
          </w:p>
          <w:p>
            <w:pPr>
              <w:spacing w:after="40" w:line="240"/>
            </w:pPr>
            <w:r>
              <w:rPr>
                <w:rFonts w:ascii="Calibri" w:cs="Calibri" w:eastAsia="Calibri" w:hAnsi="Calibri"/>
                <w:b/>
                <w:bCs/>
                <w:color w:val="C55A11"/>
                <w:sz w:val="17"/>
                <w:szCs w:val="17"/>
              </w:rPr>
              <w:t xml:space="preserve">⑭ </w:t>
            </w:r>
            <w:r>
              <w:rPr>
                <w:rFonts w:ascii="Calibri" w:cs="Calibri" w:eastAsia="Calibri" w:hAnsi="Calibri"/>
                <w:b/>
                <w:bCs/>
                <w:color w:val="C55A11"/>
                <w:sz w:val="17"/>
                <w:szCs w:val="17"/>
              </w:rPr>
              <w:t xml:space="preserve">Subordonnée causale + accumulation</w:t>
            </w:r>
            <w:r>
              <w:rPr>
                <w:rFonts w:ascii="Calibri" w:cs="Calibri" w:eastAsia="Calibri" w:hAnsi="Calibri"/>
                <w:color w:val="404040"/>
                <w:sz w:val="17"/>
                <w:szCs w:val="17"/>
              </w:rPr>
              <w:t xml:space="preserve"> → </w:t>
            </w:r>
            <w:r>
              <w:rPr>
                <w:rFonts w:ascii="Calibri" w:cs="Calibri" w:eastAsia="Calibri" w:hAnsi="Calibri"/>
                <w:b/>
                <w:bCs/>
                <w:color w:val="262626"/>
                <w:sz w:val="17"/>
                <w:szCs w:val="17"/>
              </w:rPr>
              <w:t xml:space="preserve">paradoxe</w:t>
            </w:r>
            <w:r>
              <w:rPr>
                <w:rFonts w:ascii="Calibri" w:cs="Calibri" w:eastAsia="Calibri" w:hAnsi="Calibri"/>
                <w:color w:val="262626"/>
                <w:sz w:val="17"/>
                <w:szCs w:val="17"/>
              </w:rPr>
              <w:t xml:space="preserve"> : par la flatterie, ils créent la toute-puissance qui les détruira → artisans de leur malheur</w:t>
            </w:r>
          </w:p>
        </w:tc>
      </w:tr>
      <w:tr>
        <w:trPr>
          <w:cantSplit/>
        </w:trPr>
        <w:tc>
          <w:tcPr>
            <w:tcW w:type="dxa" w:w="5572"/>
            <w:tcBorders>
              <w:top w:val="single" w:color="BFBFBF" w:sz="4"/>
              <w:left w:val="single" w:color="C55A11" w:sz="24"/>
              <w:bottom w:val="single" w:color="BFBFBF" w:sz="4"/>
              <w:right w:val="single" w:color="BFBFBF" w:sz="4"/>
            </w:tcBorders>
            <w:tcMar>
              <w:top w:type="dxa" w:w="60"/>
              <w:left w:type="dxa" w:w="120"/>
              <w:bottom w:type="dxa" w:w="60"/>
              <w:right w:type="dxa" w:w="120"/>
            </w:tcMar>
          </w:tcPr>
          <w:p>
            <w:pPr>
              <w:spacing w:line="255"/>
              <w:jc w:val="both"/>
            </w:pPr>
            <w:r>
              <w:rPr>
                <w:rFonts w:ascii="Calibri" w:cs="Calibri" w:eastAsia="Calibri" w:hAnsi="Calibri"/>
                <w:sz w:val="19"/>
                <w:szCs w:val="19"/>
              </w:rPr>
              <w:t xml:space="preserve">Donc </w:t>
            </w:r>
            <w:r>
              <w:rPr>
                <w:rFonts w:ascii="Calibri" w:cs="Calibri" w:eastAsia="Calibri" w:hAnsi="Calibri"/>
                <w:b/>
                <w:bCs/>
                <w:sz w:val="19"/>
                <w:szCs w:val="19"/>
                <w:shd w:fill="F8CBAD" w:color="auto" w:val="clear"/>
              </w:rPr>
              <w:t xml:space="preserve">n’est-ce donc pas grande pitié que, voyant tant d’exemples éclatants</w:t>
            </w:r>
            <w:r>
              <w:rPr>
                <w:rFonts w:ascii="Calibri" w:cs="Calibri" w:eastAsia="Calibri" w:hAnsi="Calibri"/>
                <w:b/>
                <w:bCs/>
                <w:color w:val="C55A11"/>
                <w:sz w:val="17"/>
                <w:szCs w:val="17"/>
              </w:rPr>
              <w:t xml:space="preserve">⑮</w:t>
            </w:r>
            <w:r>
              <w:rPr>
                <w:rFonts w:ascii="Calibri" w:cs="Calibri" w:eastAsia="Calibri" w:hAnsi="Calibri"/>
                <w:sz w:val="19"/>
                <w:szCs w:val="19"/>
              </w:rPr>
              <w:t xml:space="preserve">, voyant le danger </w:t>
            </w:r>
            <w:r>
              <w:rPr>
                <w:rFonts w:ascii="Calibri" w:cs="Calibri" w:eastAsia="Calibri" w:hAnsi="Calibri"/>
                <w:b/>
                <w:bCs/>
                <w:sz w:val="19"/>
                <w:szCs w:val="19"/>
                <w:shd w:fill="F8CBAD" w:color="auto" w:val="clear"/>
              </w:rPr>
              <w:t xml:space="preserve">si</w:t>
            </w:r>
            <w:r>
              <w:rPr>
                <w:rFonts w:ascii="Calibri" w:cs="Calibri" w:eastAsia="Calibri" w:hAnsi="Calibri"/>
                <w:b/>
                <w:bCs/>
                <w:color w:val="C55A11"/>
                <w:sz w:val="17"/>
                <w:szCs w:val="17"/>
              </w:rPr>
              <w:t xml:space="preserve">⑯</w:t>
            </w:r>
            <w:r>
              <w:rPr>
                <w:rFonts w:ascii="Calibri" w:cs="Calibri" w:eastAsia="Calibri" w:hAnsi="Calibri"/>
                <w:sz w:val="19"/>
                <w:szCs w:val="19"/>
              </w:rPr>
              <w:t xml:space="preserve"> présent, personne ne veuille tirer sagesse des misères d’autrui, et que tant de gens s’approchent si volontiers des tyrans ?</w:t>
            </w:r>
          </w:p>
        </w:tc>
        <w:tc>
          <w:tcPr>
            <w:tcW w:type="dxa" w:w="4746"/>
            <w:tcBorders>
              <w:top w:val="single" w:color="BFBFBF" w:sz="4"/>
              <w:left w:val="single" w:color="BFBFBF" w:sz="4"/>
              <w:bottom w:val="single" w:color="BFBFBF" w:sz="4"/>
              <w:right w:val="single" w:color="BFBFBF" w:sz="4"/>
            </w:tcBorders>
            <w:shd w:fill="FDF5EF" w:color="auto" w:val="clear"/>
            <w:tcMar>
              <w:top w:type="dxa" w:w="60"/>
              <w:left w:type="dxa" w:w="110"/>
              <w:bottom w:type="dxa" w:w="40"/>
              <w:right w:type="dxa" w:w="100"/>
            </w:tcMar>
          </w:tcPr>
          <w:p>
            <w:pPr>
              <w:spacing w:after="40" w:line="240"/>
            </w:pPr>
            <w:r>
              <w:rPr>
                <w:rFonts w:ascii="Calibri" w:cs="Calibri" w:eastAsia="Calibri" w:hAnsi="Calibri"/>
                <w:b/>
                <w:bCs/>
                <w:color w:val="C55A11"/>
                <w:sz w:val="17"/>
                <w:szCs w:val="17"/>
              </w:rPr>
              <w:t xml:space="preserve">⑮ </w:t>
            </w:r>
            <w:r>
              <w:rPr>
                <w:rFonts w:ascii="Calibri" w:cs="Calibri" w:eastAsia="Calibri" w:hAnsi="Calibri"/>
                <w:b/>
                <w:bCs/>
                <w:color w:val="C55A11"/>
                <w:sz w:val="17"/>
                <w:szCs w:val="17"/>
              </w:rPr>
              <w:t xml:space="preserve">Question rhétorique + hyperbole</w:t>
            </w:r>
            <w:r>
              <w:rPr>
                <w:rFonts w:ascii="Calibri" w:cs="Calibri" w:eastAsia="Calibri" w:hAnsi="Calibri"/>
                <w:color w:val="404040"/>
                <w:sz w:val="17"/>
                <w:szCs w:val="17"/>
              </w:rPr>
              <w:t xml:space="preserve"> → </w:t>
            </w:r>
            <w:r>
              <w:rPr>
                <w:rFonts w:ascii="Calibri" w:cs="Calibri" w:eastAsia="Calibri" w:hAnsi="Calibri"/>
                <w:color w:val="262626"/>
                <w:sz w:val="17"/>
                <w:szCs w:val="17"/>
              </w:rPr>
              <w:t xml:space="preserve">absurdité de la servitude volontaire ; interpelle le lecteur</w:t>
            </w:r>
          </w:p>
          <w:p>
            <w:pPr>
              <w:spacing w:after="40" w:line="240"/>
            </w:pPr>
            <w:r>
              <w:rPr>
                <w:rFonts w:ascii="Calibri" w:cs="Calibri" w:eastAsia="Calibri" w:hAnsi="Calibri"/>
                <w:b/>
                <w:bCs/>
                <w:color w:val="C55A11"/>
                <w:sz w:val="17"/>
                <w:szCs w:val="17"/>
              </w:rPr>
              <w:t xml:space="preserve">⑯ </w:t>
            </w:r>
            <w:r>
              <w:rPr>
                <w:rFonts w:ascii="Calibri" w:cs="Calibri" w:eastAsia="Calibri" w:hAnsi="Calibri"/>
                <w:b/>
                <w:bCs/>
                <w:color w:val="C55A11"/>
                <w:sz w:val="17"/>
                <w:szCs w:val="17"/>
              </w:rPr>
              <w:t xml:space="preserve">Adverbes d’intensité</w:t>
            </w:r>
            <w:r>
              <w:rPr>
                <w:rFonts w:ascii="Calibri" w:cs="Calibri" w:eastAsia="Calibri" w:hAnsi="Calibri"/>
                <w:color w:val="404040"/>
                <w:sz w:val="17"/>
                <w:szCs w:val="17"/>
              </w:rPr>
              <w:t xml:space="preserve"> → </w:t>
            </w:r>
            <w:r>
              <w:rPr>
                <w:rFonts w:ascii="Calibri" w:cs="Calibri" w:eastAsia="Calibri" w:hAnsi="Calibri"/>
                <w:color w:val="262626"/>
                <w:sz w:val="17"/>
                <w:szCs w:val="17"/>
              </w:rPr>
              <w:t xml:space="preserve">« tant », « si » : avertissement (destinataires : les magistrats proches du pouvoir ?)</w:t>
            </w:r>
          </w:p>
        </w:tc>
      </w:tr>
    </w:tbl>
    <w:p>
      <w:pPr>
        <w:keepNext/>
        <w:shd w:fill="548235" w:color="auto" w:val="clear"/>
        <w:spacing w:after="0" w:before="100"/>
      </w:pPr>
      <w:r>
        <w:rPr>
          <w:rFonts w:ascii="Calibri" w:cs="Calibri" w:eastAsia="Calibri" w:hAnsi="Calibri"/>
          <w:b/>
          <w:bCs/>
          <w:color w:val="FFFFFF"/>
          <w:sz w:val="21"/>
          <w:szCs w:val="21"/>
        </w:rPr>
        <w:t xml:space="preserve"> 3e mouvement — L’apologue du renard et du lion : fuir la proximité du pouvoir</w:t>
      </w:r>
    </w:p>
    <w:tbl>
      <w:tblPr>
        <w:tblW w:type="dxa" w:w="10318"/>
        <w:tblBorders>
          <w:top w:val="single" w:color="auto" w:sz="4"/>
          <w:left w:val="single" w:color="auto" w:sz="4"/>
          <w:bottom w:val="single" w:color="auto" w:sz="4"/>
          <w:right w:val="single" w:color="auto" w:sz="4"/>
          <w:insideH w:val="single" w:color="auto" w:sz="4"/>
          <w:insideV w:val="single" w:color="auto" w:sz="4"/>
        </w:tblBorders>
      </w:tblPr>
      <w:tblGrid>
        <w:gridCol w:w="5572"/>
        <w:gridCol w:w="4746"/>
      </w:tblGrid>
      <w:tr>
        <w:trPr>
          <w:cantSplit/>
        </w:trPr>
        <w:tc>
          <w:tcPr>
            <w:tcW w:type="dxa" w:w="5572"/>
            <w:tcBorders>
              <w:top w:val="single" w:color="BFBFBF" w:sz="4"/>
              <w:left w:val="single" w:color="548235" w:sz="24"/>
              <w:bottom w:val="single" w:color="BFBFBF" w:sz="4"/>
              <w:right w:val="single" w:color="BFBFBF" w:sz="4"/>
            </w:tcBorders>
            <w:tcMar>
              <w:top w:type="dxa" w:w="60"/>
              <w:left w:type="dxa" w:w="120"/>
              <w:bottom w:type="dxa" w:w="60"/>
              <w:right w:type="dxa" w:w="120"/>
            </w:tcMar>
          </w:tcPr>
          <w:p>
            <w:pPr>
              <w:spacing w:line="255"/>
              <w:jc w:val="both"/>
            </w:pPr>
            <w:r>
              <w:rPr>
                <w:rFonts w:ascii="Calibri" w:cs="Calibri" w:eastAsia="Calibri" w:hAnsi="Calibri"/>
                <w:sz w:val="19"/>
                <w:szCs w:val="19"/>
              </w:rPr>
              <w:t xml:space="preserve">Qu’il n’y en ait pas un qui ait la prudence et la hardiesse de leur dire </w:t>
            </w:r>
            <w:r>
              <w:rPr>
                <w:rFonts w:ascii="Calibri" w:cs="Calibri" w:eastAsia="Calibri" w:hAnsi="Calibri"/>
                <w:b/>
                <w:bCs/>
                <w:sz w:val="19"/>
                <w:szCs w:val="19"/>
                <w:shd w:fill="C5E0B3" w:color="auto" w:val="clear"/>
              </w:rPr>
              <w:t xml:space="preserve">ce que dit, dans la fable, le renard au lion qui faisait le malade</w:t>
            </w:r>
            <w:r>
              <w:rPr>
                <w:rFonts w:ascii="Calibri" w:cs="Calibri" w:eastAsia="Calibri" w:hAnsi="Calibri"/>
                <w:b/>
                <w:bCs/>
                <w:color w:val="548235"/>
                <w:sz w:val="17"/>
                <w:szCs w:val="17"/>
              </w:rPr>
              <w:t xml:space="preserve">⑰</w:t>
            </w:r>
            <w:r>
              <w:rPr>
                <w:rFonts w:ascii="Calibri" w:cs="Calibri" w:eastAsia="Calibri" w:hAnsi="Calibri"/>
                <w:sz w:val="19"/>
                <w:szCs w:val="19"/>
              </w:rPr>
              <w:t xml:space="preserve"> : </w:t>
            </w:r>
            <w:r>
              <w:rPr>
                <w:rFonts w:ascii="Calibri" w:cs="Calibri" w:eastAsia="Calibri" w:hAnsi="Calibri"/>
                <w:b/>
                <w:bCs/>
                <w:sz w:val="19"/>
                <w:szCs w:val="19"/>
                <w:shd w:fill="C5E0B3" w:color="auto" w:val="clear"/>
              </w:rPr>
              <w:t xml:space="preserve">« Je t’irais volontiers voir en ta tanière ; mais je vois assez de traces de bêtes qui y entrent ; mais de celles qui en sortent, je n’en vois pas une. »</w:t>
            </w:r>
            <w:r>
              <w:rPr>
                <w:rFonts w:ascii="Calibri" w:cs="Calibri" w:eastAsia="Calibri" w:hAnsi="Calibri"/>
                <w:b/>
                <w:bCs/>
                <w:color w:val="548235"/>
                <w:sz w:val="17"/>
                <w:szCs w:val="17"/>
              </w:rPr>
              <w:t xml:space="preserve">⑱</w:t>
            </w:r>
          </w:p>
        </w:tc>
        <w:tc>
          <w:tcPr>
            <w:tcW w:type="dxa" w:w="4746"/>
            <w:tcBorders>
              <w:top w:val="single" w:color="BFBFBF" w:sz="4"/>
              <w:left w:val="single" w:color="BFBFBF" w:sz="4"/>
              <w:bottom w:val="single" w:color="BFBFBF" w:sz="4"/>
              <w:right w:val="single" w:color="BFBFBF" w:sz="4"/>
            </w:tcBorders>
            <w:shd w:fill="F4F9F0" w:color="auto" w:val="clear"/>
            <w:tcMar>
              <w:top w:type="dxa" w:w="60"/>
              <w:left w:type="dxa" w:w="110"/>
              <w:bottom w:type="dxa" w:w="40"/>
              <w:right w:type="dxa" w:w="100"/>
            </w:tcMar>
          </w:tcPr>
          <w:p>
            <w:pPr>
              <w:spacing w:after="40" w:line="240"/>
            </w:pPr>
            <w:r>
              <w:rPr>
                <w:rFonts w:ascii="Calibri" w:cs="Calibri" w:eastAsia="Calibri" w:hAnsi="Calibri"/>
                <w:b/>
                <w:bCs/>
                <w:color w:val="548235"/>
                <w:sz w:val="17"/>
                <w:szCs w:val="17"/>
              </w:rPr>
              <w:t xml:space="preserve">⑰ </w:t>
            </w:r>
            <w:r>
              <w:rPr>
                <w:rFonts w:ascii="Calibri" w:cs="Calibri" w:eastAsia="Calibri" w:hAnsi="Calibri"/>
                <w:b/>
                <w:bCs/>
                <w:color w:val="548235"/>
                <w:sz w:val="17"/>
                <w:szCs w:val="17"/>
              </w:rPr>
              <w:t xml:space="preserve">Apologue (Ésope)</w:t>
            </w:r>
            <w:r>
              <w:rPr>
                <w:rFonts w:ascii="Calibri" w:cs="Calibri" w:eastAsia="Calibri" w:hAnsi="Calibri"/>
                <w:color w:val="404040"/>
                <w:sz w:val="17"/>
                <w:szCs w:val="17"/>
              </w:rPr>
              <w:t xml:space="preserve"> → </w:t>
            </w:r>
            <w:r>
              <w:rPr>
                <w:rFonts w:ascii="Calibri" w:cs="Calibri" w:eastAsia="Calibri" w:hAnsi="Calibri"/>
                <w:color w:val="262626"/>
                <w:sz w:val="17"/>
                <w:szCs w:val="17"/>
              </w:rPr>
              <w:t xml:space="preserve">légèreté narrative ; référence antique partagée ; </w:t>
            </w:r>
            <w:r>
              <w:rPr>
                <w:rFonts w:ascii="Calibri" w:cs="Calibri" w:eastAsia="Calibri" w:hAnsi="Calibri"/>
                <w:b/>
                <w:bCs/>
                <w:color w:val="262626"/>
                <w:sz w:val="17"/>
                <w:szCs w:val="17"/>
              </w:rPr>
              <w:t xml:space="preserve">argument d’autorité</w:t>
            </w:r>
            <w:r>
              <w:rPr>
                <w:rFonts w:ascii="Calibri" w:cs="Calibri" w:eastAsia="Calibri" w:hAnsi="Calibri"/>
                <w:color w:val="262626"/>
                <w:sz w:val="17"/>
                <w:szCs w:val="17"/>
              </w:rPr>
              <w:t xml:space="preserve"> ; fable rendue politique</w:t>
            </w:r>
          </w:p>
          <w:p>
            <w:pPr>
              <w:spacing w:after="40" w:line="240"/>
            </w:pPr>
            <w:r>
              <w:rPr>
                <w:rFonts w:ascii="Calibri" w:cs="Calibri" w:eastAsia="Calibri" w:hAnsi="Calibri"/>
                <w:b/>
                <w:bCs/>
                <w:color w:val="548235"/>
                <w:sz w:val="17"/>
                <w:szCs w:val="17"/>
              </w:rPr>
              <w:t xml:space="preserve">⑱ </w:t>
            </w:r>
            <w:r>
              <w:rPr>
                <w:rFonts w:ascii="Calibri" w:cs="Calibri" w:eastAsia="Calibri" w:hAnsi="Calibri"/>
                <w:b/>
                <w:bCs/>
                <w:color w:val="548235"/>
                <w:sz w:val="17"/>
                <w:szCs w:val="17"/>
              </w:rPr>
              <w:t xml:space="preserve">Discours direct + antithèse + chute</w:t>
            </w:r>
            <w:r>
              <w:rPr>
                <w:rFonts w:ascii="Calibri" w:cs="Calibri" w:eastAsia="Calibri" w:hAnsi="Calibri"/>
                <w:color w:val="404040"/>
                <w:sz w:val="17"/>
                <w:szCs w:val="17"/>
              </w:rPr>
              <w:t xml:space="preserve"> → </w:t>
            </w:r>
            <w:r>
              <w:rPr>
                <w:rFonts w:ascii="Calibri" w:cs="Calibri" w:eastAsia="Calibri" w:hAnsi="Calibri"/>
                <w:color w:val="262626"/>
                <w:sz w:val="17"/>
                <w:szCs w:val="17"/>
              </w:rPr>
              <w:t xml:space="preserve">entrent / sortent ; moralité implicite (évidente) : le renard rusé sait qu’approcher le lion = être dévoré</w:t>
            </w:r>
          </w:p>
        </w:tc>
      </w:tr>
    </w:tbl>
    <w:p>
      <w:pPr>
        <w:spacing w:after="100"/>
      </w:pPr>
    </w:p>
    <w:tbl>
      <w:tblPr>
        <w:tblW w:type="dxa" w:w="10318"/>
        <w:tblBorders>
          <w:top w:val="single" w:color="auto" w:sz="4"/>
          <w:left w:val="single" w:color="auto" w:sz="4"/>
          <w:bottom w:val="single" w:color="auto" w:sz="4"/>
          <w:right w:val="single" w:color="auto" w:sz="4"/>
          <w:insideH w:val="single" w:color="auto" w:sz="4"/>
          <w:insideV w:val="single" w:color="auto" w:sz="4"/>
        </w:tblBorders>
      </w:tblPr>
      <w:tblGrid>
        <w:gridCol w:w="10318"/>
      </w:tblGrid>
      <w:tr>
        <w:trPr>
          <w:cantSplit/>
        </w:trPr>
        <w:tc>
          <w:tcPr>
            <w:tcW w:type="dxa" w:w="10318"/>
            <w:tcBorders>
              <w:top w:val="single" w:color="C55A11" w:sz="8"/>
              <w:left w:val="single" w:color="C55A11" w:sz="24"/>
              <w:bottom w:val="single" w:color="C55A11" w:sz="8"/>
              <w:right w:val="single" w:color="C55A11" w:sz="8"/>
            </w:tcBorders>
            <w:shd w:fill="FCEFE6" w:color="auto" w:val="clear"/>
            <w:tcMar>
              <w:top w:type="dxa" w:w="80"/>
              <w:left w:type="dxa" w:w="140"/>
              <w:bottom w:type="dxa" w:w="80"/>
              <w:right w:type="dxa" w:w="140"/>
            </w:tcMar>
          </w:tcPr>
          <w:p>
            <w:pPr>
              <w:spacing w:after="40"/>
            </w:pPr>
            <w:r>
              <w:rPr>
                <w:rFonts w:ascii="Calibri" w:cs="Calibri" w:eastAsia="Calibri" w:hAnsi="Calibri"/>
                <w:b/>
                <w:bCs/>
                <w:color w:val="833C0B"/>
                <w:sz w:val="21"/>
                <w:szCs w:val="21"/>
              </w:rPr>
              <w:t xml:space="preserve">CONCLUSION</w:t>
            </w:r>
          </w:p>
          <w:p>
            <w:pPr>
              <w:spacing w:after="30" w:line="250"/>
              <w:jc w:val="both"/>
            </w:pPr>
            <w:r>
              <w:rPr>
                <w:rFonts w:ascii="Calibri" w:cs="Calibri" w:eastAsia="Calibri" w:hAnsi="Calibri"/>
                <w:b/>
                <w:bCs/>
                <w:color w:val="833C0B"/>
                <w:sz w:val="18"/>
                <w:szCs w:val="18"/>
              </w:rPr>
              <w:t xml:space="preserve">Bilan : </w:t>
            </w:r>
            <w:r>
              <w:rPr>
                <w:rFonts w:ascii="Calibri" w:cs="Calibri" w:eastAsia="Calibri" w:hAnsi="Calibri"/>
                <w:sz w:val="18"/>
                <w:szCs w:val="18"/>
              </w:rPr>
              <w:t xml:space="preserve">Sous la tyrannie, les relations sociales sont </w:t>
            </w:r>
            <w:r>
              <w:rPr>
                <w:rFonts w:ascii="Calibri" w:cs="Calibri" w:eastAsia="Calibri" w:hAnsi="Calibri"/>
                <w:b/>
                <w:bCs/>
                <w:sz w:val="18"/>
                <w:szCs w:val="18"/>
              </w:rPr>
              <w:t xml:space="preserve">faussées</w:t>
            </w:r>
            <w:r>
              <w:rPr>
                <w:rFonts w:ascii="Calibri" w:cs="Calibri" w:eastAsia="Calibri" w:hAnsi="Calibri"/>
                <w:sz w:val="18"/>
                <w:szCs w:val="18"/>
              </w:rPr>
              <w:t xml:space="preserve"> : ambition, crainte et défiance remplacent la confiance. Le tyran est isolé, ses favoris menacés, ses complices liés par la peur.</w:t>
            </w:r>
          </w:p>
          <w:p>
            <w:pPr>
              <w:spacing w:after="30" w:line="250"/>
              <w:jc w:val="both"/>
            </w:pPr>
            <w:r>
              <w:rPr>
                <w:rFonts w:ascii="Calibri" w:cs="Calibri" w:eastAsia="Calibri" w:hAnsi="Calibri"/>
                <w:b/>
                <w:bCs/>
                <w:color w:val="833C0B"/>
                <w:sz w:val="18"/>
                <w:szCs w:val="18"/>
              </w:rPr>
              <w:t xml:space="preserve">Réponse : </w:t>
            </w:r>
            <w:r>
              <w:rPr>
                <w:rFonts w:ascii="Calibri" w:cs="Calibri" w:eastAsia="Calibri" w:hAnsi="Calibri"/>
                <w:sz w:val="18"/>
                <w:szCs w:val="18"/>
              </w:rPr>
              <w:t xml:space="preserve">L’</w:t>
            </w:r>
            <w:r>
              <w:rPr>
                <w:rFonts w:ascii="Calibri" w:cs="Calibri" w:eastAsia="Calibri" w:hAnsi="Calibri"/>
                <w:b/>
                <w:bCs/>
                <w:sz w:val="18"/>
                <w:szCs w:val="18"/>
              </w:rPr>
              <w:t xml:space="preserve">amitié</w:t>
            </w:r>
            <w:r>
              <w:rPr>
                <w:rFonts w:ascii="Calibri" w:cs="Calibri" w:eastAsia="Calibri" w:hAnsi="Calibri"/>
                <w:sz w:val="18"/>
                <w:szCs w:val="18"/>
              </w:rPr>
              <w:t xml:space="preserve">, fondée sur la vertu, l’égalité et l’estime réciproque, apparaît comme un </w:t>
            </w:r>
            <w:r>
              <w:rPr>
                <w:rFonts w:ascii="Calibri" w:cs="Calibri" w:eastAsia="Calibri" w:hAnsi="Calibri"/>
                <w:b/>
                <w:bCs/>
                <w:sz w:val="18"/>
                <w:szCs w:val="18"/>
              </w:rPr>
              <w:t xml:space="preserve">antidote</w:t>
            </w:r>
            <w:r>
              <w:rPr>
                <w:rFonts w:ascii="Calibri" w:cs="Calibri" w:eastAsia="Calibri" w:hAnsi="Calibri"/>
                <w:sz w:val="18"/>
                <w:szCs w:val="18"/>
              </w:rPr>
              <w:t xml:space="preserve"> à la servitude : une société bâtie sur elle empêche l’apparition de « tyranneaux ». Pour La Boétie, la sociabilité naturelle des hommes est l’amitié (« nous sommes tous compagnons »), donc la liberté.</w:t>
            </w:r>
          </w:p>
          <w:p>
            <w:pPr>
              <w:spacing w:after="30" w:line="250"/>
              <w:jc w:val="both"/>
            </w:pPr>
            <w:r>
              <w:rPr>
                <w:rFonts w:ascii="Calibri" w:cs="Calibri" w:eastAsia="Calibri" w:hAnsi="Calibri"/>
                <w:b/>
                <w:bCs/>
                <w:color w:val="833C0B"/>
                <w:sz w:val="18"/>
                <w:szCs w:val="18"/>
              </w:rPr>
              <w:t xml:space="preserve">Ouverture : </w:t>
            </w:r>
            <w:r>
              <w:rPr>
                <w:rFonts w:ascii="Calibri" w:cs="Calibri" w:eastAsia="Calibri" w:hAnsi="Calibri"/>
                <w:sz w:val="18"/>
                <w:szCs w:val="18"/>
              </w:rPr>
              <w:t xml:space="preserve">Ce texte trouve un écho dans le chapitre « De l’amitié » des Essais (I, 28), où Montaigne évoque son amitié « si entière et si parfaite » avec La Boétie : « Parce que c’était lui ; parce que c’était moi ».</w:t>
            </w:r>
          </w:p>
        </w:tc>
      </w:tr>
    </w:tbl>
    <w:p>
      <w:pPr>
        <w:spacing w:after="80"/>
      </w:pPr>
    </w:p>
    <w:tbl>
      <w:tblPr>
        <w:tblW w:type="dxa" w:w="10318"/>
        <w:tblBorders>
          <w:top w:val="single" w:color="auto" w:sz="4"/>
          <w:left w:val="single" w:color="auto" w:sz="4"/>
          <w:bottom w:val="single" w:color="auto" w:sz="4"/>
          <w:right w:val="single" w:color="auto" w:sz="4"/>
          <w:insideH w:val="single" w:color="auto" w:sz="4"/>
          <w:insideV w:val="single" w:color="auto" w:sz="4"/>
        </w:tblBorders>
      </w:tblPr>
      <w:tblGrid>
        <w:gridCol w:w="10318"/>
      </w:tblGrid>
      <w:tr>
        <w:trPr>
          <w:cantSplit/>
        </w:trPr>
        <w:tc>
          <w:tcPr>
            <w:tcW w:type="dxa" w:w="10318"/>
            <w:tcBorders>
              <w:top w:val="single" w:color="548235" w:sz="8"/>
              <w:left w:val="single" w:color="548235" w:sz="24"/>
              <w:bottom w:val="single" w:color="548235" w:sz="8"/>
              <w:right w:val="single" w:color="548235" w:sz="8"/>
            </w:tcBorders>
            <w:shd w:fill="EEF6E8" w:color="auto" w:val="clear"/>
            <w:tcMar>
              <w:top w:type="dxa" w:w="80"/>
              <w:left w:type="dxa" w:w="140"/>
              <w:bottom w:type="dxa" w:w="80"/>
              <w:right w:type="dxa" w:w="140"/>
            </w:tcMar>
          </w:tcPr>
          <w:p>
            <w:pPr>
              <w:spacing w:after="40"/>
            </w:pPr>
            <w:r>
              <w:rPr>
                <w:rFonts w:ascii="Calibri" w:cs="Calibri" w:eastAsia="Calibri" w:hAnsi="Calibri"/>
                <w:b/>
                <w:bCs/>
                <w:color w:val="375623"/>
                <w:sz w:val="21"/>
                <w:szCs w:val="21"/>
              </w:rPr>
              <w:t xml:space="preserve">🎓 Conseils du prof pour le jour J</w:t>
            </w:r>
          </w:p>
          <w:p>
            <w:pPr>
              <w:pStyle w:val="ListParagraph"/>
              <w:numPr>
                <w:ilvl w:val="0"/>
                <w:numId w:val="2"/>
              </w:numPr>
              <w:spacing w:after="20" w:line="245"/>
            </w:pPr>
            <w:r>
              <w:rPr>
                <w:rFonts w:ascii="Calibri" w:cs="Calibri" w:eastAsia="Calibri" w:hAnsi="Calibri"/>
                <w:sz w:val="17"/>
                <w:szCs w:val="17"/>
              </w:rPr>
              <w:t xml:space="preserve">Deux figures </w:t>
            </w:r>
            <w:r>
              <w:rPr>
                <w:rFonts w:ascii="Calibri" w:cs="Calibri" w:eastAsia="Calibri" w:hAnsi="Calibri"/>
                <w:b/>
                <w:bCs/>
                <w:sz w:val="17"/>
                <w:szCs w:val="17"/>
              </w:rPr>
              <w:t xml:space="preserve">nouvelles</w:t>
            </w:r>
            <w:r>
              <w:rPr>
                <w:rFonts w:ascii="Calibri" w:cs="Calibri" w:eastAsia="Calibri" w:hAnsi="Calibri"/>
                <w:sz w:val="17"/>
                <w:szCs w:val="17"/>
              </w:rPr>
              <w:t xml:space="preserve"> ici : le </w:t>
            </w:r>
            <w:r>
              <w:rPr>
                <w:rFonts w:ascii="Calibri" w:cs="Calibri" w:eastAsia="Calibri" w:hAnsi="Calibri"/>
                <w:b/>
                <w:bCs/>
                <w:sz w:val="17"/>
                <w:szCs w:val="17"/>
              </w:rPr>
              <w:t xml:space="preserve">chiasme</w:t>
            </w:r>
            <w:r>
              <w:rPr>
                <w:rFonts w:ascii="Calibri" w:cs="Calibri" w:eastAsia="Calibri" w:hAnsi="Calibri"/>
                <w:sz w:val="17"/>
                <w:szCs w:val="17"/>
              </w:rPr>
              <w:t xml:space="preserve"> et l’</w:t>
            </w:r>
            <w:r>
              <w:rPr>
                <w:rFonts w:ascii="Calibri" w:cs="Calibri" w:eastAsia="Calibri" w:hAnsi="Calibri"/>
                <w:b/>
                <w:bCs/>
                <w:sz w:val="17"/>
                <w:szCs w:val="17"/>
              </w:rPr>
              <w:t xml:space="preserve">épanorthose</w:t>
            </w:r>
            <w:r>
              <w:rPr>
                <w:rFonts w:ascii="Calibri" w:cs="Calibri" w:eastAsia="Calibri" w:hAnsi="Calibri"/>
                <w:sz w:val="17"/>
                <w:szCs w:val="17"/>
              </w:rPr>
              <w:t xml:space="preserve">. Sache les définir avec un exemple du texte.</w:t>
            </w:r>
          </w:p>
          <w:p>
            <w:pPr>
              <w:pStyle w:val="ListParagraph"/>
              <w:numPr>
                <w:ilvl w:val="0"/>
                <w:numId w:val="2"/>
              </w:numPr>
              <w:spacing w:after="20" w:line="245"/>
            </w:pPr>
            <w:r>
              <w:rPr>
                <w:rFonts w:ascii="Calibri" w:cs="Calibri" w:eastAsia="Calibri" w:hAnsi="Calibri"/>
                <w:sz w:val="17"/>
                <w:szCs w:val="17"/>
              </w:rPr>
              <w:t xml:space="preserve">Ne confonds pas les auteurs : la fable vient d’</w:t>
            </w:r>
            <w:r>
              <w:rPr>
                <w:rFonts w:ascii="Calibri" w:cs="Calibri" w:eastAsia="Calibri" w:hAnsi="Calibri"/>
                <w:b/>
                <w:bCs/>
                <w:sz w:val="17"/>
                <w:szCs w:val="17"/>
              </w:rPr>
              <w:t xml:space="preserve">Ésope</w:t>
            </w:r>
            <w:r>
              <w:rPr>
                <w:rFonts w:ascii="Calibri" w:cs="Calibri" w:eastAsia="Calibri" w:hAnsi="Calibri"/>
                <w:sz w:val="17"/>
                <w:szCs w:val="17"/>
              </w:rPr>
              <w:t xml:space="preserve"> ; La Fontaine (« Le lion malade et le renard ») vient un siècle plus tard.</w:t>
            </w:r>
          </w:p>
          <w:p>
            <w:pPr>
              <w:pStyle w:val="ListParagraph"/>
              <w:numPr>
                <w:ilvl w:val="0"/>
                <w:numId w:val="2"/>
              </w:numPr>
              <w:spacing w:after="20" w:line="245"/>
            </w:pPr>
            <w:r>
              <w:rPr>
                <w:rFonts w:ascii="Calibri" w:cs="Calibri" w:eastAsia="Calibri" w:hAnsi="Calibri"/>
                <w:sz w:val="17"/>
                <w:szCs w:val="17"/>
              </w:rPr>
              <w:t xml:space="preserve">La dernière phrase est </w:t>
            </w:r>
            <w:r>
              <w:rPr>
                <w:rFonts w:ascii="Calibri" w:cs="Calibri" w:eastAsia="Calibri" w:hAnsi="Calibri"/>
                <w:b/>
                <w:bCs/>
                <w:sz w:val="17"/>
                <w:szCs w:val="17"/>
              </w:rPr>
              <w:t xml:space="preserve">très longue</w:t>
            </w:r>
            <w:r>
              <w:rPr>
                <w:rFonts w:ascii="Calibri" w:cs="Calibri" w:eastAsia="Calibri" w:hAnsi="Calibri"/>
                <w:sz w:val="17"/>
                <w:szCs w:val="17"/>
              </w:rPr>
              <w:t xml:space="preserve"> : entraîne-toi à la lire d’un souffle maîtrisé, en gardant l’expressivité jusqu’à la chute.</w:t>
            </w:r>
          </w:p>
          <w:p>
            <w:pPr>
              <w:pStyle w:val="ListParagraph"/>
              <w:numPr>
                <w:ilvl w:val="0"/>
                <w:numId w:val="2"/>
              </w:numPr>
              <w:spacing w:after="20" w:line="245"/>
            </w:pPr>
            <w:r>
              <w:rPr>
                <w:rFonts w:ascii="Calibri" w:cs="Calibri" w:eastAsia="Calibri" w:hAnsi="Calibri"/>
                <w:sz w:val="17"/>
                <w:szCs w:val="17"/>
              </w:rPr>
              <w:t xml:space="preserve">Vérifie le texte de cette fiche avec ta photocopie : la traduction peut varier légèrement d’une édition à l’autre.</w:t>
            </w:r>
          </w:p>
        </w:tc>
      </w:tr>
    </w:tbl>
    <w:sectPr>
      <w:footerReference w:type="default" r:id="rId6"/>
      <w:pgSz w:w="11906" w:h="16838" w:orient="portrait"/>
      <w:pgMar w:top="680" w:right="794" w:bottom="680" w:left="79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4"/>
        <w:szCs w:val="14"/>
      </w:rPr>
      <w:t xml:space="preserve">LL3 · La Boétie, Discours de la servitude volontaire · page </w:t>
    </w:r>
    <w:r>
      <w:rPr>
        <w:rFonts w:ascii="Calibri" w:cs="Calibri" w:eastAsia="Calibri" w:hAnsi="Calibri"/>
        <w:color w:val="80808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LL3 La Boétie – fichage</dc:title>
  <dc:creator>Kasper</dc:creator>
  <cp:lastModifiedBy>Un-named</cp:lastModifiedBy>
  <cp:revision>1</cp:revision>
  <dcterms:created xsi:type="dcterms:W3CDTF">2026-10-20T12:21:46.951Z</dcterms:created>
  <dcterms:modified xsi:type="dcterms:W3CDTF">2026-10-20T12:21:46.951Z</dcterms:modified>
</cp:coreProperties>
</file>

<file path=docProps/custom.xml><?xml version="1.0" encoding="utf-8"?>
<Properties xmlns="http://schemas.openxmlformats.org/officeDocument/2006/custom-properties" xmlns:vt="http://schemas.openxmlformats.org/officeDocument/2006/docPropsVTypes"/>
</file>