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58FCE">
      <w:pPr>
        <w:spacing w:line="500" w:lineRule="exact"/>
        <w:jc w:val="center"/>
        <w:outlineLvl w:val="0"/>
        <w:rPr>
          <w:rFonts w:hint="eastAsia" w:ascii="黑体" w:hAnsi="黑体" w:eastAsia="黑体"/>
          <w:szCs w:val="32"/>
          <w:lang w:val="en-US" w:eastAsia="zh-CN"/>
        </w:rPr>
      </w:pPr>
      <w:r>
        <w:rPr>
          <w:rFonts w:hint="eastAsia" w:ascii="黑体" w:hAnsi="黑体" w:eastAsia="黑体"/>
          <w:szCs w:val="32"/>
        </w:rPr>
        <w:t>电能质量监测系统项目技术</w:t>
      </w:r>
      <w:r>
        <w:rPr>
          <w:rFonts w:hint="eastAsia" w:ascii="黑体" w:hAnsi="黑体" w:eastAsia="黑体"/>
          <w:szCs w:val="32"/>
          <w:lang w:val="en-US" w:eastAsia="zh-CN"/>
        </w:rPr>
        <w:t>要求</w:t>
      </w:r>
    </w:p>
    <w:p w14:paraId="7AC60CA4">
      <w:pPr>
        <w:keepNext w:val="0"/>
        <w:keepLines w:val="0"/>
        <w:widowControl w:val="0"/>
        <w:spacing w:before="0" w:after="0" w:line="360" w:lineRule="auto"/>
        <w:ind w:left="432" w:hanging="432"/>
        <w:jc w:val="left"/>
        <w:outlineLvl w:val="0"/>
        <w:rPr>
          <w:rFonts w:ascii="宋体" w:hAnsi="宋体" w:eastAsia="宋体" w:cs="宋体"/>
          <w:b/>
          <w:bCs/>
          <w:kern w:val="44"/>
          <w:sz w:val="24"/>
          <w:szCs w:val="24"/>
          <w:lang w:val="en-US" w:eastAsia="zh-CN" w:bidi="ar-SA"/>
        </w:rPr>
      </w:pPr>
      <w:bookmarkStart w:id="0" w:name="_Toc106719252"/>
      <w:r>
        <w:rPr>
          <w:rFonts w:hint="eastAsia" w:ascii="宋体" w:hAnsi="宋体" w:eastAsia="宋体" w:cs="宋体"/>
          <w:b/>
          <w:bCs/>
          <w:kern w:val="44"/>
          <w:sz w:val="24"/>
          <w:szCs w:val="24"/>
          <w:lang w:val="en-US" w:eastAsia="zh-CN" w:bidi="ar-SA"/>
        </w:rPr>
        <w:t>1需求介绍</w:t>
      </w:r>
      <w:bookmarkEnd w:id="0"/>
    </w:p>
    <w:p w14:paraId="2CF5B231">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目前电能质量监测管理系统、</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电池管理系统、高压变配电后台系统等，各系统相对独立。</w:t>
      </w:r>
      <w:bookmarkStart w:id="14" w:name="_GoBack"/>
      <w:bookmarkEnd w:id="14"/>
    </w:p>
    <w:p w14:paraId="25EF0E82">
      <w:pPr>
        <w:widowControl w:val="0"/>
        <w:spacing w:line="360" w:lineRule="auto"/>
        <w:ind w:firstLine="560"/>
        <w:jc w:val="both"/>
        <w:rPr>
          <w:rFonts w:ascii="宋体" w:hAnsi="宋体" w:eastAsia="PMingLiU" w:cs="宋体"/>
          <w:kern w:val="0"/>
          <w:sz w:val="24"/>
          <w:szCs w:val="24"/>
          <w:lang w:val="zh-TW" w:eastAsia="zh-CN" w:bidi="zh-TW"/>
        </w:rPr>
      </w:pPr>
      <w:r>
        <w:rPr>
          <w:rFonts w:hint="eastAsia" w:ascii="宋体" w:hAnsi="宋体" w:eastAsia="宋体" w:cs="宋体"/>
          <w:color w:val="000000"/>
          <w:kern w:val="0"/>
          <w:sz w:val="24"/>
          <w:szCs w:val="24"/>
          <w:lang w:val="zh-TW" w:eastAsia="zh-CN" w:bidi="zh-TW"/>
        </w:rPr>
        <w:t>在</w:t>
      </w:r>
      <w:r>
        <w:rPr>
          <w:rFonts w:hint="eastAsia" w:ascii="宋体" w:hAnsi="宋体" w:eastAsia="宋体" w:cs="宋体"/>
          <w:color w:val="000000"/>
          <w:kern w:val="0"/>
          <w:sz w:val="24"/>
          <w:szCs w:val="24"/>
          <w:lang w:val="zh-TW" w:eastAsia="zh-TW" w:bidi="zh-TW"/>
        </w:rPr>
        <w:t>服务器、计算机、</w:t>
      </w:r>
      <w:r>
        <w:rPr>
          <w:rFonts w:hint="eastAsia" w:ascii="宋体" w:hAnsi="宋体" w:eastAsia="宋体" w:cs="宋体"/>
          <w:color w:val="000000"/>
          <w:kern w:val="0"/>
          <w:sz w:val="24"/>
          <w:szCs w:val="24"/>
          <w:lang w:val="en-US" w:eastAsia="zh-CN" w:bidi="en-US"/>
        </w:rPr>
        <w:t>CPU</w:t>
      </w:r>
      <w:r>
        <w:rPr>
          <w:rFonts w:hint="eastAsia" w:ascii="宋体" w:hAnsi="宋体" w:eastAsia="宋体" w:cs="宋体"/>
          <w:color w:val="000000"/>
          <w:kern w:val="0"/>
          <w:sz w:val="24"/>
          <w:szCs w:val="24"/>
          <w:lang w:val="zh-TW" w:eastAsia="zh-TW" w:bidi="zh-TW"/>
        </w:rPr>
        <w:t>及操作系统、浏览器、数据库国产化</w:t>
      </w:r>
      <w:r>
        <w:rPr>
          <w:rFonts w:hint="eastAsia" w:ascii="宋体" w:hAnsi="宋体" w:eastAsia="宋体" w:cs="宋体"/>
          <w:color w:val="000000"/>
          <w:kern w:val="0"/>
          <w:sz w:val="24"/>
          <w:szCs w:val="24"/>
          <w:lang w:val="zh-TW" w:eastAsia="zh-CN" w:bidi="zh-TW"/>
        </w:rPr>
        <w:t>的基础上，开展以下建设内容：</w:t>
      </w:r>
    </w:p>
    <w:p w14:paraId="66DF1456">
      <w:pPr>
        <w:widowControl w:val="0"/>
        <w:numPr>
          <w:ilvl w:val="0"/>
          <w:numId w:val="2"/>
        </w:numPr>
        <w:spacing w:line="360" w:lineRule="auto"/>
        <w:ind w:left="0"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数据共享体系</w:t>
      </w:r>
      <w:r>
        <w:rPr>
          <w:rFonts w:hint="eastAsia" w:ascii="宋体" w:hAnsi="宋体" w:eastAsia="宋体" w:cs="宋体"/>
          <w:color w:val="000000"/>
          <w:kern w:val="0"/>
          <w:sz w:val="24"/>
          <w:szCs w:val="24"/>
          <w:lang w:val="zh-TW" w:eastAsia="zh-CN" w:bidi="zh-TW"/>
        </w:rPr>
        <w:t>，</w:t>
      </w:r>
      <w:r>
        <w:rPr>
          <w:rFonts w:hint="eastAsia" w:ascii="宋体" w:hAnsi="宋体" w:eastAsia="宋体" w:cs="宋体"/>
          <w:color w:val="000000"/>
          <w:kern w:val="0"/>
          <w:sz w:val="24"/>
          <w:szCs w:val="24"/>
          <w:lang w:val="zh-TW" w:eastAsia="zh-TW" w:bidi="zh-TW"/>
        </w:rPr>
        <w:t>分步实施建设电能质量管理系统（供电系统全要素运行管理平台）。</w:t>
      </w:r>
    </w:p>
    <w:p w14:paraId="21C67AD3">
      <w:pPr>
        <w:widowControl w:val="0"/>
        <w:numPr>
          <w:ilvl w:val="0"/>
          <w:numId w:val="2"/>
        </w:numPr>
        <w:spacing w:line="360" w:lineRule="auto"/>
        <w:ind w:left="0"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数据中心汇聚各变电站电能质量数据,具备数据储存、显示、分析、展示、查询等功能。</w:t>
      </w:r>
    </w:p>
    <w:p w14:paraId="353AE275">
      <w:pPr>
        <w:widowControl w:val="0"/>
        <w:numPr>
          <w:ilvl w:val="0"/>
          <w:numId w:val="2"/>
        </w:numPr>
        <w:spacing w:line="360" w:lineRule="auto"/>
        <w:ind w:left="0"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平时阶段用于日常电能数据监测，重要工作阶段展示此阶段工作相关供电系统态势。</w:t>
      </w:r>
    </w:p>
    <w:p w14:paraId="6229179C">
      <w:pPr>
        <w:widowControl w:val="0"/>
        <w:numPr>
          <w:ilvl w:val="0"/>
          <w:numId w:val="2"/>
        </w:numPr>
        <w:spacing w:line="360" w:lineRule="auto"/>
        <w:ind w:left="0"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重新梳理建立相对独立的变电站间供电系统信息网络。</w:t>
      </w:r>
    </w:p>
    <w:p w14:paraId="552E9691">
      <w:pPr>
        <w:widowControl w:val="0"/>
        <w:numPr>
          <w:ilvl w:val="0"/>
          <w:numId w:val="2"/>
        </w:numPr>
        <w:spacing w:line="360" w:lineRule="auto"/>
        <w:ind w:left="0"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按统一标准建设各变电站电能质量管理平台，主要包括本站数据接入、处理、存储、查询、分析、展示；可访问其它变电站数据进行态势分析、重要工作供电态势复盘。</w:t>
      </w:r>
    </w:p>
    <w:p w14:paraId="1A45EB8B">
      <w:pPr>
        <w:widowControl w:val="0"/>
        <w:numPr>
          <w:ilvl w:val="0"/>
          <w:numId w:val="2"/>
        </w:numPr>
        <w:spacing w:line="360" w:lineRule="auto"/>
        <w:ind w:left="0"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变电站电能质量管理平台包括变压器低压侧和</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出线侧的电流、谐波、闪变等重要数据，各配电抽屉柜出线回路电流、电压及开关状态，重要负荷配电出线回路故障报警记录和事件记录等数据，本站数据处理、存储、分析、展示等硬件设备和软件，时间统一、数据通信设备等。</w:t>
      </w:r>
    </w:p>
    <w:p w14:paraId="00ED7A57">
      <w:pPr>
        <w:keepNext w:val="0"/>
        <w:keepLines w:val="0"/>
        <w:widowControl w:val="0"/>
        <w:spacing w:before="0" w:after="0" w:line="360" w:lineRule="auto"/>
        <w:ind w:left="432" w:hanging="432"/>
        <w:jc w:val="left"/>
        <w:outlineLvl w:val="0"/>
        <w:rPr>
          <w:rFonts w:ascii="宋体" w:hAnsi="宋体" w:eastAsia="宋体" w:cs="宋体"/>
          <w:b/>
          <w:bCs/>
          <w:kern w:val="44"/>
          <w:sz w:val="24"/>
          <w:szCs w:val="24"/>
          <w:lang w:val="en-US" w:eastAsia="zh-CN" w:bidi="ar-SA"/>
        </w:rPr>
      </w:pPr>
      <w:bookmarkStart w:id="1" w:name="bookmark4"/>
      <w:bookmarkEnd w:id="1"/>
      <w:bookmarkStart w:id="2" w:name="_Toc106719253"/>
      <w:r>
        <w:rPr>
          <w:rFonts w:hint="eastAsia" w:ascii="宋体" w:hAnsi="宋体" w:eastAsia="宋体" w:cs="宋体"/>
          <w:b/>
          <w:bCs/>
          <w:kern w:val="44"/>
          <w:sz w:val="24"/>
          <w:szCs w:val="24"/>
          <w:lang w:val="en-US" w:eastAsia="zh-CN" w:bidi="ar-SA"/>
        </w:rPr>
        <w:t>2建设范围</w:t>
      </w:r>
      <w:bookmarkEnd w:id="2"/>
    </w:p>
    <w:p w14:paraId="20C54883">
      <w:pPr>
        <w:widowControl w:val="0"/>
        <w:numPr>
          <w:ilvl w:val="0"/>
          <w:numId w:val="3"/>
        </w:numPr>
        <w:spacing w:line="360" w:lineRule="auto"/>
        <w:ind w:left="0" w:firstLine="566" w:firstLineChars="236"/>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总体架构搭建与供电指挥中心建设，以4号为监控中心，建设相关数据贮存、处理设备机房，规划完善网络建设，实现对各分变电站的数据联网；布设场区变电站可视化态势指显系统。</w:t>
      </w:r>
    </w:p>
    <w:p w14:paraId="48E8483F">
      <w:pPr>
        <w:widowControl w:val="0"/>
        <w:numPr>
          <w:ilvl w:val="0"/>
          <w:numId w:val="3"/>
        </w:numPr>
        <w:spacing w:line="360" w:lineRule="auto"/>
        <w:ind w:left="0" w:firstLine="566" w:firstLineChars="236"/>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6个电站电能质量管理系统更新与数据接入。保留原有施耐德</w:t>
      </w:r>
      <w:r>
        <w:rPr>
          <w:rFonts w:hint="eastAsia" w:ascii="宋体" w:hAnsi="宋体" w:eastAsia="宋体" w:cs="宋体"/>
          <w:color w:val="000000"/>
          <w:kern w:val="0"/>
          <w:sz w:val="24"/>
          <w:szCs w:val="24"/>
          <w:lang w:val="en-US" w:eastAsia="zh-CN" w:bidi="en-US"/>
        </w:rPr>
        <w:t>INO7650</w:t>
      </w:r>
      <w:r>
        <w:rPr>
          <w:rFonts w:hint="eastAsia" w:ascii="宋体" w:hAnsi="宋体" w:eastAsia="宋体" w:cs="宋体"/>
          <w:color w:val="000000"/>
          <w:kern w:val="0"/>
          <w:sz w:val="24"/>
          <w:szCs w:val="24"/>
          <w:lang w:val="zh-TW" w:eastAsia="zh-TW" w:bidi="zh-TW"/>
        </w:rPr>
        <w:t>仪表，更换相应网关及电脑服务器为国产自主品牌，开发基于国产自主可控系统的电能质量监测管理系统。</w:t>
      </w:r>
    </w:p>
    <w:p w14:paraId="2328EC3A">
      <w:pPr>
        <w:widowControl w:val="0"/>
        <w:numPr>
          <w:ilvl w:val="0"/>
          <w:numId w:val="3"/>
        </w:numPr>
        <w:spacing w:line="360" w:lineRule="auto"/>
        <w:ind w:left="0" w:firstLine="566" w:firstLineChars="236"/>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在数据中心配置网络管理软件（模块），可以对整个配电系统范围内的设备通信情况进行</w:t>
      </w:r>
      <w:r>
        <w:rPr>
          <w:rFonts w:hint="eastAsia" w:ascii="宋体" w:hAnsi="宋体" w:eastAsia="宋体" w:cs="宋体"/>
          <w:color w:val="000000"/>
          <w:kern w:val="0"/>
          <w:sz w:val="24"/>
          <w:szCs w:val="24"/>
          <w:lang w:val="en-US" w:eastAsia="zh-CN" w:bidi="en-US"/>
        </w:rPr>
        <w:t>IP</w:t>
      </w:r>
      <w:r>
        <w:rPr>
          <w:rFonts w:hint="eastAsia" w:ascii="宋体" w:hAnsi="宋体" w:eastAsia="宋体" w:cs="宋体"/>
          <w:color w:val="000000"/>
          <w:kern w:val="0"/>
          <w:sz w:val="24"/>
          <w:szCs w:val="24"/>
          <w:lang w:val="zh-TW" w:eastAsia="zh-TW" w:bidi="zh-TW"/>
        </w:rPr>
        <w:t>分配、网络管理、控制等功能。可以查看某个设备的通信和数据报文。</w:t>
      </w:r>
    </w:p>
    <w:p w14:paraId="0E491133">
      <w:pPr>
        <w:widowControl w:val="0"/>
        <w:numPr>
          <w:ilvl w:val="0"/>
          <w:numId w:val="3"/>
        </w:numPr>
        <w:spacing w:line="360" w:lineRule="auto"/>
        <w:ind w:left="0" w:firstLine="566" w:firstLineChars="236"/>
        <w:jc w:val="both"/>
        <w:rPr>
          <w:rFonts w:ascii="宋体" w:hAnsi="宋体" w:eastAsia="宋体" w:cs="宋体"/>
          <w:kern w:val="0"/>
          <w:sz w:val="24"/>
          <w:szCs w:val="24"/>
          <w:lang w:val="en-US" w:eastAsia="zh-TW" w:bidi="zh-TW"/>
        </w:rPr>
      </w:pPr>
      <w:r>
        <w:rPr>
          <w:rFonts w:hint="eastAsia" w:ascii="宋体" w:hAnsi="宋体" w:eastAsia="宋体" w:cs="宋体"/>
          <w:color w:val="000000"/>
          <w:kern w:val="0"/>
          <w:sz w:val="24"/>
          <w:szCs w:val="24"/>
          <w:lang w:val="zh-TW" w:eastAsia="zh-TW" w:bidi="zh-TW"/>
        </w:rPr>
        <w:t>预留水电中心</w:t>
      </w:r>
      <w:r>
        <w:rPr>
          <w:rFonts w:hint="eastAsia" w:ascii="宋体" w:hAnsi="宋体" w:eastAsia="宋体" w:cs="宋体"/>
          <w:color w:val="000000"/>
          <w:kern w:val="0"/>
          <w:sz w:val="24"/>
          <w:szCs w:val="24"/>
          <w:lang w:val="en-US" w:eastAsia="zh-CN" w:bidi="en-US"/>
        </w:rPr>
        <w:t>110kV</w:t>
      </w:r>
      <w:r>
        <w:rPr>
          <w:rFonts w:hint="eastAsia" w:ascii="宋体" w:hAnsi="宋体" w:eastAsia="宋体" w:cs="宋体"/>
          <w:color w:val="000000"/>
          <w:kern w:val="0"/>
          <w:sz w:val="24"/>
          <w:szCs w:val="24"/>
          <w:lang w:val="zh-TW" w:eastAsia="zh-TW" w:bidi="zh-TW"/>
        </w:rPr>
        <w:t>中心变电站、</w:t>
      </w:r>
      <w:r>
        <w:rPr>
          <w:rFonts w:hint="eastAsia" w:ascii="宋体" w:hAnsi="宋体" w:eastAsia="宋体" w:cs="宋体"/>
          <w:color w:val="000000"/>
          <w:kern w:val="0"/>
          <w:sz w:val="24"/>
          <w:szCs w:val="24"/>
          <w:lang w:val="en-US" w:eastAsia="zh-CN" w:bidi="en-US"/>
        </w:rPr>
        <w:t>35KV</w:t>
      </w:r>
      <w:r>
        <w:rPr>
          <w:rFonts w:hint="eastAsia" w:ascii="宋体" w:hAnsi="宋体" w:eastAsia="宋体" w:cs="宋体"/>
          <w:color w:val="000000"/>
          <w:kern w:val="0"/>
          <w:sz w:val="24"/>
          <w:szCs w:val="24"/>
          <w:lang w:val="zh-TW" w:eastAsia="zh-TW" w:bidi="zh-TW"/>
        </w:rPr>
        <w:t>电站数据接口，待水电中心项目完成后，完成</w:t>
      </w:r>
      <w:r>
        <w:rPr>
          <w:rFonts w:hint="eastAsia" w:ascii="宋体" w:hAnsi="宋体" w:eastAsia="宋体" w:cs="宋体"/>
          <w:color w:val="000000"/>
          <w:kern w:val="0"/>
          <w:sz w:val="24"/>
          <w:szCs w:val="24"/>
          <w:lang w:val="en-US" w:eastAsia="zh-CN" w:bidi="en-US"/>
        </w:rPr>
        <w:t>110kV</w:t>
      </w:r>
      <w:r>
        <w:rPr>
          <w:rFonts w:hint="eastAsia" w:ascii="宋体" w:hAnsi="宋体" w:eastAsia="宋体" w:cs="宋体"/>
          <w:color w:val="000000"/>
          <w:kern w:val="0"/>
          <w:sz w:val="24"/>
          <w:szCs w:val="24"/>
          <w:lang w:val="zh-TW" w:eastAsia="zh-TW" w:bidi="zh-TW"/>
        </w:rPr>
        <w:t>中心变电站、</w:t>
      </w:r>
      <w:r>
        <w:rPr>
          <w:rFonts w:hint="eastAsia" w:ascii="宋体" w:hAnsi="宋体" w:eastAsia="宋体" w:cs="宋体"/>
          <w:color w:val="000000"/>
          <w:kern w:val="0"/>
          <w:sz w:val="24"/>
          <w:szCs w:val="24"/>
          <w:lang w:val="en-US" w:eastAsia="zh-CN" w:bidi="en-US"/>
        </w:rPr>
        <w:t>35KV</w:t>
      </w:r>
      <w:r>
        <w:rPr>
          <w:rFonts w:hint="eastAsia" w:ascii="宋体" w:hAnsi="宋体" w:eastAsia="宋体" w:cs="宋体"/>
          <w:color w:val="000000"/>
          <w:kern w:val="0"/>
          <w:sz w:val="24"/>
          <w:szCs w:val="24"/>
          <w:lang w:val="zh-TW" w:eastAsia="zh-TW" w:bidi="zh-TW"/>
        </w:rPr>
        <w:t>电站重要数据及态势展</w:t>
      </w:r>
      <w:r>
        <w:rPr>
          <w:rFonts w:hint="eastAsia" w:ascii="宋体" w:hAnsi="宋体" w:eastAsia="宋体" w:cs="宋体"/>
          <w:color w:val="000000"/>
          <w:kern w:val="0"/>
          <w:sz w:val="24"/>
          <w:szCs w:val="24"/>
          <w:lang w:val="en-US" w:eastAsia="zh-CN" w:bidi="en-US"/>
        </w:rPr>
        <w:t>示。</w:t>
      </w:r>
    </w:p>
    <w:p w14:paraId="30FF811A">
      <w:pPr>
        <w:keepNext w:val="0"/>
        <w:keepLines w:val="0"/>
        <w:widowControl w:val="0"/>
        <w:spacing w:before="0" w:after="0" w:line="360" w:lineRule="auto"/>
        <w:ind w:left="432" w:hanging="432"/>
        <w:jc w:val="left"/>
        <w:outlineLvl w:val="0"/>
        <w:rPr>
          <w:rFonts w:ascii="宋体" w:hAnsi="宋体" w:eastAsia="宋体" w:cs="宋体"/>
          <w:b/>
          <w:bCs/>
          <w:kern w:val="44"/>
          <w:sz w:val="24"/>
          <w:szCs w:val="24"/>
          <w:lang w:val="en-US" w:eastAsia="zh-CN" w:bidi="ar-SA"/>
        </w:rPr>
      </w:pPr>
      <w:bookmarkStart w:id="3" w:name="bookmark5"/>
      <w:bookmarkEnd w:id="3"/>
      <w:bookmarkStart w:id="4" w:name="_Toc106719254"/>
      <w:r>
        <w:rPr>
          <w:rFonts w:hint="eastAsia" w:ascii="宋体" w:hAnsi="宋体" w:eastAsia="宋体" w:cs="宋体"/>
          <w:b/>
          <w:bCs/>
          <w:kern w:val="44"/>
          <w:sz w:val="24"/>
          <w:szCs w:val="24"/>
          <w:lang w:val="en-US" w:eastAsia="zh-CN" w:bidi="ar-SA"/>
        </w:rPr>
        <w:t>3建设内容</w:t>
      </w:r>
      <w:bookmarkEnd w:id="4"/>
    </w:p>
    <w:p w14:paraId="027CDF48">
      <w:pPr>
        <w:keepNext/>
        <w:keepLines/>
        <w:widowControl w:val="0"/>
        <w:numPr>
          <w:ilvl w:val="1"/>
          <w:numId w:val="0"/>
        </w:numPr>
        <w:spacing w:before="0" w:after="0" w:line="360" w:lineRule="auto"/>
        <w:ind w:left="575" w:hanging="575"/>
        <w:jc w:val="left"/>
        <w:outlineLvl w:val="1"/>
        <w:rPr>
          <w:rFonts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3.1电能质量管理中心</w:t>
      </w:r>
    </w:p>
    <w:p w14:paraId="25AC6995">
      <w:pPr>
        <w:keepNext/>
        <w:keepLines/>
        <w:widowControl w:val="0"/>
        <w:numPr>
          <w:ilvl w:val="2"/>
          <w:numId w:val="0"/>
        </w:numPr>
        <w:spacing w:before="0" w:after="0" w:line="360" w:lineRule="auto"/>
        <w:ind w:left="720" w:hanging="720"/>
        <w:jc w:val="left"/>
        <w:outlineLvl w:val="2"/>
        <w:rPr>
          <w:rFonts w:ascii="宋体" w:hAnsi="宋体" w:eastAsia="宋体" w:cs="宋体"/>
          <w:b/>
          <w:bCs/>
          <w:kern w:val="2"/>
          <w:sz w:val="32"/>
          <w:szCs w:val="24"/>
          <w:lang w:val="en-US" w:eastAsia="zh-CN" w:bidi="ar-SA"/>
        </w:rPr>
      </w:pPr>
      <w:r>
        <w:rPr>
          <w:rFonts w:hint="eastAsia" w:ascii="宋体" w:hAnsi="宋体" w:eastAsia="宋体" w:cs="宋体"/>
          <w:b/>
          <w:bCs/>
          <w:kern w:val="2"/>
          <w:sz w:val="24"/>
          <w:szCs w:val="24"/>
          <w:lang w:val="en-US" w:eastAsia="zh-CN" w:bidi="ar-SA"/>
        </w:rPr>
        <w:t>3.1.1系统架构</w:t>
      </w:r>
    </w:p>
    <w:p w14:paraId="6B581A75">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场区电能质量监测系统按管理中心级-变电站级二层架构布局。网络充分利用现有通信系统光纤网，在未连入通信系统光纤网的电站末端补充敷设光纤，新敷设光纤线路。</w:t>
      </w:r>
    </w:p>
    <w:p w14:paraId="1761E318">
      <w:pPr>
        <w:widowControl w:val="0"/>
        <w:spacing w:line="360" w:lineRule="auto"/>
        <w:ind w:firstLine="561"/>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管理中心级汇聚存储各变电站电能质量数据并分析、评估、展示供电系统态势等；并完成上述6个电站全息化场景展示功能，变电站级釆集本站电能质量参数数据、处理存储、分析计算展示、配电设备管理，向管理中心传送本站数据等。</w:t>
      </w:r>
    </w:p>
    <w:p w14:paraId="2666D94D">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目前电能质量监测系统部分变电站网络不通畅，利用点号之间己有光缆，解决末端连接，形成完整的、相对独立的装备管理网络，该网络除用于供电管理系统联网外，还用于其他装备集中运维联网。</w:t>
      </w:r>
    </w:p>
    <w:p w14:paraId="6A037656">
      <w:pPr>
        <w:keepNext/>
        <w:keepLines/>
        <w:widowControl w:val="0"/>
        <w:numPr>
          <w:ilvl w:val="2"/>
          <w:numId w:val="0"/>
        </w:numPr>
        <w:spacing w:before="0" w:after="0" w:line="360" w:lineRule="auto"/>
        <w:ind w:left="720" w:hanging="720"/>
        <w:jc w:val="left"/>
        <w:outlineLvl w:val="2"/>
        <w:rPr>
          <w:rFonts w:ascii="宋体" w:hAnsi="宋体" w:eastAsia="宋体" w:cs="宋体"/>
          <w:b/>
          <w:bCs/>
          <w:kern w:val="2"/>
          <w:sz w:val="32"/>
          <w:szCs w:val="24"/>
          <w:lang w:val="en-US" w:eastAsia="zh-CN" w:bidi="ar-SA"/>
        </w:rPr>
      </w:pPr>
      <w:r>
        <w:rPr>
          <w:rFonts w:hint="eastAsia" w:ascii="宋体" w:hAnsi="宋体" w:eastAsia="宋体" w:cs="宋体"/>
          <w:b/>
          <w:bCs/>
          <w:kern w:val="2"/>
          <w:sz w:val="24"/>
          <w:szCs w:val="24"/>
          <w:lang w:val="en-US" w:eastAsia="zh-CN" w:bidi="ar-SA"/>
        </w:rPr>
        <w:t>3.1.2硬件系统</w:t>
      </w:r>
    </w:p>
    <w:p w14:paraId="23670079">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数据釆集分系统包括：网络交换机、数据库服务器、</w:t>
      </w:r>
      <w:r>
        <w:rPr>
          <w:rFonts w:hint="eastAsia" w:ascii="宋体" w:hAnsi="宋体" w:eastAsia="宋体" w:cs="宋体"/>
          <w:color w:val="000000"/>
          <w:kern w:val="0"/>
          <w:sz w:val="24"/>
          <w:szCs w:val="24"/>
          <w:lang w:val="en-US" w:eastAsia="zh-CN" w:bidi="en-US"/>
        </w:rPr>
        <w:t>WEB</w:t>
      </w:r>
      <w:r>
        <w:rPr>
          <w:rFonts w:hint="eastAsia" w:ascii="宋体" w:hAnsi="宋体" w:eastAsia="宋体" w:cs="宋体"/>
          <w:color w:val="000000"/>
          <w:kern w:val="0"/>
          <w:sz w:val="24"/>
          <w:szCs w:val="24"/>
          <w:lang w:val="zh-TW" w:eastAsia="zh-TW" w:bidi="zh-TW"/>
        </w:rPr>
        <w:t>服务器、中心站点客户端主机等。硬件系统框图如下：</w:t>
      </w:r>
    </w:p>
    <w:p w14:paraId="6A16ACA9">
      <w:pPr>
        <w:spacing w:line="360" w:lineRule="auto"/>
        <w:jc w:val="center"/>
        <w:rPr>
          <w:rFonts w:ascii="宋体" w:hAnsi="宋体" w:eastAsia="宋体" w:cs="宋体"/>
        </w:rPr>
      </w:pPr>
      <w:r>
        <w:rPr>
          <w:rFonts w:hint="eastAsia" w:ascii="宋体" w:hAnsi="宋体" w:eastAsia="宋体" w:cs="宋体"/>
        </w:rPr>
        <w:drawing>
          <wp:inline distT="0" distB="0" distL="114300" distR="114300">
            <wp:extent cx="4572000" cy="3663950"/>
            <wp:effectExtent l="0" t="0" r="0" b="12700"/>
            <wp:docPr id="3" name="Picutre 1"/>
            <wp:cNvGraphicFramePr/>
            <a:graphic xmlns:a="http://schemas.openxmlformats.org/drawingml/2006/main">
              <a:graphicData uri="http://schemas.openxmlformats.org/drawingml/2006/picture">
                <pic:pic xmlns:pic="http://schemas.openxmlformats.org/drawingml/2006/picture">
                  <pic:nvPicPr>
                    <pic:cNvPr id="3" name="Picutre 1"/>
                    <pic:cNvPicPr/>
                  </pic:nvPicPr>
                  <pic:blipFill>
                    <a:blip r:embed="rId4"/>
                    <a:stretch>
                      <a:fillRect/>
                    </a:stretch>
                  </pic:blipFill>
                  <pic:spPr>
                    <a:xfrm>
                      <a:off x="0" y="0"/>
                      <a:ext cx="4572000" cy="3663950"/>
                    </a:xfrm>
                    <a:prstGeom prst="rect">
                      <a:avLst/>
                    </a:prstGeom>
                  </pic:spPr>
                </pic:pic>
              </a:graphicData>
            </a:graphic>
          </wp:inline>
        </w:drawing>
      </w:r>
    </w:p>
    <w:p w14:paraId="3C40521F">
      <w:pPr>
        <w:spacing w:line="360" w:lineRule="auto"/>
        <w:rPr>
          <w:rFonts w:ascii="宋体" w:hAnsi="宋体" w:eastAsia="宋体" w:cs="宋体"/>
        </w:rPr>
      </w:pPr>
    </w:p>
    <w:p w14:paraId="4B6DC2C1">
      <w:pPr>
        <w:keepNext/>
        <w:keepLines/>
        <w:widowControl w:val="0"/>
        <w:numPr>
          <w:ilvl w:val="2"/>
          <w:numId w:val="0"/>
        </w:numPr>
        <w:spacing w:before="0" w:after="0" w:line="360" w:lineRule="auto"/>
        <w:ind w:left="720" w:hanging="720"/>
        <w:jc w:val="left"/>
        <w:outlineLvl w:val="2"/>
        <w:rPr>
          <w:rFonts w:ascii="宋体" w:hAnsi="宋体" w:eastAsia="宋体" w:cs="宋体"/>
          <w:b/>
          <w:bCs/>
          <w:kern w:val="2"/>
          <w:sz w:val="32"/>
          <w:szCs w:val="24"/>
          <w:lang w:val="en-US" w:eastAsia="zh-CN" w:bidi="ar-SA"/>
        </w:rPr>
      </w:pPr>
      <w:r>
        <w:rPr>
          <w:rFonts w:hint="eastAsia" w:ascii="宋体" w:hAnsi="宋体" w:eastAsia="宋体" w:cs="宋体"/>
          <w:b/>
          <w:bCs/>
          <w:kern w:val="2"/>
          <w:sz w:val="24"/>
          <w:szCs w:val="24"/>
          <w:lang w:val="en-US" w:eastAsia="zh-CN" w:bidi="ar-SA"/>
        </w:rPr>
        <w:t>3.1.3软件系统</w:t>
      </w:r>
    </w:p>
    <w:p w14:paraId="7B092EF2">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3.1.3.1配电保障全息化场景展示</w:t>
      </w:r>
    </w:p>
    <w:p w14:paraId="2019425E">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全息化场景展示主要用于数据中心大屏展示，分全网展示、重要工作阶段展示、指定变电站展示。重要工作阶段展示，系统提供重要工作阶段流程生成工具，用户根据重要工作阶段流程按时间轴节点，勾选需要特别关注的供电回路和电参数，进入重要工作阶段流程，系统基于数字装配数据驱动配电系统组态技术，在全网展示场景，根据重要工作阶段流程嵌窗三维显示重要工作阶段节点关注的配电回路配电屏场景，聚焦数字显示电参数。指定变电站展示，</w:t>
      </w:r>
      <w:r>
        <w:rPr>
          <w:rFonts w:hint="eastAsia" w:ascii="宋体" w:hAnsi="宋体" w:eastAsia="宋体" w:cs="宋体"/>
          <w:color w:val="000000"/>
          <w:kern w:val="0"/>
          <w:sz w:val="24"/>
          <w:szCs w:val="24"/>
          <w:lang w:val="en-US" w:eastAsia="zh-CN" w:bidi="en-US"/>
        </w:rPr>
        <w:t>Web</w:t>
      </w:r>
      <w:r>
        <w:rPr>
          <w:rFonts w:hint="eastAsia" w:ascii="宋体" w:hAnsi="宋体" w:eastAsia="宋体" w:cs="宋体"/>
          <w:color w:val="000000"/>
          <w:kern w:val="0"/>
          <w:sz w:val="24"/>
          <w:szCs w:val="24"/>
          <w:lang w:val="zh-TW" w:eastAsia="zh-TW" w:bidi="zh-TW"/>
        </w:rPr>
        <w:t>访问指定变电所组态图。</w:t>
      </w:r>
    </w:p>
    <w:p w14:paraId="4752CC16">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3.1.3.2可视化配电监控</w:t>
      </w:r>
    </w:p>
    <w:p w14:paraId="57AC1E40">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基于数字装配数据驱动配电系统组态技术，分步对各变电站配电系统组态和建筑物及变配电设备建模。三维显示变电站配电设备布置、配电柜配电回路开关状态、主要电参数。</w:t>
      </w:r>
    </w:p>
    <w:p w14:paraId="35400E49">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3.1.3.3可视化配电告警</w:t>
      </w:r>
    </w:p>
    <w:p w14:paraId="16CBBCF7">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当开关跳闸、过电流、变压器高温等异常时，在可视化配电监控界面弹窗显示告警信息。</w:t>
      </w:r>
    </w:p>
    <w:p w14:paraId="5995EE18">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3.1.3.4工作保障复盘</w:t>
      </w:r>
    </w:p>
    <w:p w14:paraId="3D3A588E">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系统提供重要工作阶段保障复盘报告模板编辑工作，调取己完成的某一</w:t>
      </w:r>
      <w:r>
        <w:rPr>
          <w:rFonts w:hint="eastAsia" w:ascii="宋体" w:hAnsi="宋体" w:eastAsia="宋体" w:cs="宋体"/>
          <w:color w:val="000000"/>
          <w:kern w:val="0"/>
          <w:sz w:val="24"/>
          <w:szCs w:val="24"/>
          <w:lang w:val="en-US" w:eastAsia="zh-CN" w:bidi="zh-TW"/>
        </w:rPr>
        <w:t>次</w:t>
      </w:r>
      <w:r>
        <w:rPr>
          <w:rFonts w:hint="eastAsia" w:ascii="宋体" w:hAnsi="宋体" w:eastAsia="宋体" w:cs="宋体"/>
          <w:color w:val="000000"/>
          <w:kern w:val="0"/>
          <w:sz w:val="24"/>
          <w:szCs w:val="24"/>
          <w:lang w:val="zh-TW" w:eastAsia="zh-TW" w:bidi="zh-TW"/>
        </w:rPr>
        <w:t>重大工作保障过程中的配电数据，自动生成某工作阶段配电保障复盘报告。此报告应自动发往数据中心，由第三方软件进行接收处理。</w:t>
      </w:r>
    </w:p>
    <w:p w14:paraId="6E5A6EC8">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bookmarkStart w:id="5" w:name="OLE_LINK337"/>
      <w:r>
        <w:rPr>
          <w:rFonts w:hint="eastAsia" w:ascii="宋体" w:hAnsi="宋体" w:eastAsia="宋体" w:cs="宋体"/>
          <w:color w:val="000000"/>
          <w:spacing w:val="11"/>
          <w:kern w:val="2"/>
          <w:sz w:val="24"/>
          <w:szCs w:val="24"/>
          <w:lang w:val="en-US" w:eastAsia="zh-CN" w:bidi="ar-SA"/>
        </w:rPr>
        <w:t>3.1.3.5</w:t>
      </w:r>
      <w:bookmarkEnd w:id="5"/>
      <w:r>
        <w:rPr>
          <w:rFonts w:hint="eastAsia" w:ascii="宋体" w:hAnsi="宋体" w:eastAsia="宋体" w:cs="宋体"/>
          <w:color w:val="000000"/>
          <w:spacing w:val="11"/>
          <w:kern w:val="2"/>
          <w:sz w:val="24"/>
          <w:szCs w:val="24"/>
          <w:lang w:val="en-US" w:eastAsia="zh-CN" w:bidi="ar-SA"/>
        </w:rPr>
        <w:t>供电保障评估</w:t>
      </w:r>
    </w:p>
    <w:p w14:paraId="3605EA2A">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系统提供供电保障评估方法编辑工具，用户用此工具编辑生成供电保障评估主要要素和评估方法，需要时自动根据评估要求检索历史数据、记录，生成供电保障评估表。</w:t>
      </w:r>
    </w:p>
    <w:p w14:paraId="4EA034A6">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3.1.3.6统计报表</w:t>
      </w:r>
    </w:p>
    <w:p w14:paraId="3D66EB0B">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系统提供统计报表工具，可按指定时段和指定范围统计有功电量</w:t>
      </w:r>
      <w:r>
        <w:rPr>
          <w:rFonts w:hint="eastAsia" w:ascii="宋体" w:hAnsi="宋体" w:eastAsia="宋体" w:cs="宋体"/>
          <w:color w:val="000000"/>
          <w:kern w:val="0"/>
          <w:sz w:val="24"/>
          <w:szCs w:val="24"/>
          <w:lang w:val="en-US" w:eastAsia="zh-CN" w:bidi="en-US"/>
        </w:rPr>
        <w:t>(kW.h)、</w:t>
      </w:r>
      <w:r>
        <w:rPr>
          <w:rFonts w:hint="eastAsia" w:ascii="宋体" w:hAnsi="宋体" w:eastAsia="宋体" w:cs="宋体"/>
          <w:color w:val="000000"/>
          <w:kern w:val="0"/>
          <w:sz w:val="24"/>
          <w:szCs w:val="24"/>
          <w:lang w:val="zh-TW" w:eastAsia="zh-TW" w:bidi="zh-TW"/>
        </w:rPr>
        <w:t>无功电量</w:t>
      </w:r>
      <w:r>
        <w:rPr>
          <w:rFonts w:hint="eastAsia" w:ascii="宋体" w:hAnsi="宋体" w:eastAsia="宋体" w:cs="宋体"/>
          <w:color w:val="000000"/>
          <w:kern w:val="0"/>
          <w:sz w:val="24"/>
          <w:szCs w:val="24"/>
          <w:lang w:val="en-US" w:eastAsia="zh-CN" w:bidi="en-US"/>
        </w:rPr>
        <w:t>(kVar.h),</w:t>
      </w:r>
      <w:r>
        <w:rPr>
          <w:rFonts w:hint="eastAsia" w:ascii="宋体" w:hAnsi="宋体" w:eastAsia="宋体" w:cs="宋体"/>
          <w:color w:val="000000"/>
          <w:kern w:val="0"/>
          <w:sz w:val="24"/>
          <w:szCs w:val="24"/>
          <w:lang w:val="zh-TW" w:eastAsia="zh-TW" w:bidi="zh-TW"/>
        </w:rPr>
        <w:t>按定制的格式生成报表；可按指定时段、范围、间隔、参量生成报表；可统计备品备件出入库清单；可统计维修维护报表等。</w:t>
      </w:r>
    </w:p>
    <w:p w14:paraId="2F560996">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3.1.3.7电能质量分析评估</w:t>
      </w:r>
    </w:p>
    <w:p w14:paraId="2CC1C934">
      <w:pPr>
        <w:widowControl w:val="0"/>
        <w:spacing w:line="360" w:lineRule="auto"/>
        <w:ind w:firstLine="561"/>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谐波分析工具，可分析变电站至用户端变电站全网谐波分量分布，并在全网拓扑图上以彩色等值线显示谐波分布。可指定一个时间域和谐波次数，工具自动搜索该时域出线谐波分量最大时刻，在全网拓扑图上以彩色等值线显示该时刻指定谐波分布。</w:t>
      </w:r>
    </w:p>
    <w:p w14:paraId="6CD20E3B">
      <w:pPr>
        <w:widowControl w:val="0"/>
        <w:spacing w:line="360" w:lineRule="auto"/>
        <w:ind w:firstLine="561"/>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负载分析工具，可指定一个时间域和变压器负载率选项，工具自动搜索该时域各变压器在该时域平均负载率，在全网拓扑图上以彩色等值线显示该时域各变压器负载率；可指定一个时间域和变压器温度选项,工具自动搜索该时域各变压器在该时域平均平均温度，在全网拓扑图上以彩色等值线显示该时域各变压器温度；可指定一个时间域和功率选项，工具自动搜索该时域各变电站平均功率，在全网拓扑图上以彩色等值线显示该时域各变电站平均功率。</w:t>
      </w:r>
    </w:p>
    <w:p w14:paraId="36265B1C">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3.1.3.8岗位人员管理</w:t>
      </w:r>
    </w:p>
    <w:p w14:paraId="58B7A074">
      <w:pPr>
        <w:widowControl w:val="0"/>
        <w:spacing w:line="360" w:lineRule="auto"/>
        <w:ind w:firstLine="567"/>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系统提供岗位人员管理工具，包括各供电岗位人员信息录入与维护，各岗位值班人员签到和点名，值班人员当班记录和统计查询等。</w:t>
      </w:r>
    </w:p>
    <w:p w14:paraId="1DA6EBF5">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3.1.3.9网络管理</w:t>
      </w:r>
    </w:p>
    <w:p w14:paraId="5B77CEA9">
      <w:pPr>
        <w:widowControl w:val="0"/>
        <w:spacing w:line="360" w:lineRule="auto"/>
        <w:ind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系统提供网络管理工具，对整个配电系统范围内的设备通信进行网络管理、控制等功能。</w:t>
      </w:r>
    </w:p>
    <w:p w14:paraId="6FB35E92">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3.1.3.10对外接口</w:t>
      </w:r>
    </w:p>
    <w:p w14:paraId="335C5F2A">
      <w:pPr>
        <w:widowControl w:val="0"/>
        <w:spacing w:line="360" w:lineRule="auto"/>
        <w:ind w:firstLine="567"/>
        <w:jc w:val="left"/>
        <w:rPr>
          <w:rFonts w:ascii="宋体" w:hAnsi="宋体" w:eastAsia="宋体" w:cs="宋体"/>
          <w:kern w:val="0"/>
          <w:sz w:val="24"/>
          <w:szCs w:val="24"/>
          <w:lang w:val="zh-TW" w:eastAsia="zh-CN" w:bidi="zh-TW"/>
        </w:rPr>
      </w:pPr>
      <w:r>
        <w:rPr>
          <w:rFonts w:hint="eastAsia" w:ascii="宋体" w:hAnsi="宋体" w:eastAsia="宋体" w:cs="宋体"/>
          <w:color w:val="000000"/>
          <w:kern w:val="0"/>
          <w:sz w:val="24"/>
          <w:szCs w:val="24"/>
          <w:lang w:val="zh-TW" w:eastAsia="zh-TW" w:bidi="zh-TW"/>
        </w:rPr>
        <w:t>预留外部数据通信接口，用于将电能系统数据接入至其他外网。</w:t>
      </w:r>
    </w:p>
    <w:p w14:paraId="605DAECA">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宋体" w:hAnsi="宋体" w:eastAsia="宋体" w:cs="宋体"/>
          <w:color w:val="000000"/>
          <w:spacing w:val="11"/>
          <w:kern w:val="2"/>
          <w:sz w:val="24"/>
          <w:szCs w:val="24"/>
          <w:lang w:val="en-US" w:eastAsia="zh-CN" w:bidi="ar-SA"/>
        </w:rPr>
      </w:pPr>
      <w:r>
        <w:rPr>
          <w:rFonts w:hint="eastAsia" w:ascii="宋体" w:hAnsi="宋体" w:eastAsia="宋体" w:cs="宋体"/>
          <w:color w:val="000000"/>
          <w:spacing w:val="11"/>
          <w:kern w:val="2"/>
          <w:sz w:val="24"/>
          <w:szCs w:val="24"/>
          <w:lang w:val="en-US" w:eastAsia="zh-CN" w:bidi="ar-SA"/>
        </w:rPr>
        <w:t>3.1.3.11第三方软件接入</w:t>
      </w:r>
    </w:p>
    <w:p w14:paraId="1AD70B73">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系统具备接入多个第三方软件的接口，一是整体电能态势接入数据中心监控系统软件第三方软件；二是各变电站将</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设备运行管理软件、</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电池监测软件、高压配电继保系统软件等接入本站点电能质量软件（变电站现有电能质量监控系统、</w:t>
      </w:r>
      <w:r>
        <w:rPr>
          <w:rFonts w:hint="eastAsia" w:ascii="宋体" w:hAnsi="宋体" w:eastAsia="宋体" w:cs="宋体"/>
          <w:color w:val="000000"/>
          <w:kern w:val="0"/>
          <w:sz w:val="24"/>
          <w:szCs w:val="24"/>
          <w:lang w:val="en-US" w:eastAsia="zh-CN" w:bidi="en-US"/>
        </w:rPr>
        <w:t>10kV</w:t>
      </w:r>
      <w:r>
        <w:rPr>
          <w:rFonts w:hint="eastAsia" w:ascii="宋体" w:hAnsi="宋体" w:eastAsia="宋体" w:cs="宋体"/>
          <w:color w:val="000000"/>
          <w:kern w:val="0"/>
          <w:sz w:val="24"/>
          <w:szCs w:val="24"/>
          <w:lang w:val="zh-TW" w:eastAsia="zh-TW" w:bidi="zh-TW"/>
        </w:rPr>
        <w:t>继保系统、</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主机系统、</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蓄电池管理系统，以及后续重要配电回路增加的温度监测状态应集成到一套桌面计算机系统）。</w:t>
      </w:r>
    </w:p>
    <w:p w14:paraId="447E9665">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对于通信协议开放的第三方软件，通过数据通信获取信息并根据应用需求进行编程使用；对于通信协议不开放的第三方软件，可釆取调用（链接）方式汇聚于同一应用平台。</w:t>
      </w:r>
      <w:r>
        <w:rPr>
          <w:rFonts w:hint="eastAsia" w:ascii="宋体" w:hAnsi="宋体" w:eastAsia="宋体" w:cs="宋体"/>
          <w:kern w:val="0"/>
          <w:sz w:val="24"/>
          <w:szCs w:val="24"/>
          <w:lang w:val="zh-TW" w:eastAsia="zh-TW" w:bidi="zh-TW"/>
        </w:rPr>
        <w:br w:type="page"/>
      </w:r>
    </w:p>
    <w:p w14:paraId="234634DF">
      <w:pPr>
        <w:keepNext/>
        <w:keepLines/>
        <w:widowControl w:val="0"/>
        <w:numPr>
          <w:ilvl w:val="1"/>
          <w:numId w:val="0"/>
        </w:numPr>
        <w:spacing w:before="0" w:after="0" w:line="360" w:lineRule="auto"/>
        <w:ind w:left="575" w:hanging="575"/>
        <w:jc w:val="left"/>
        <w:outlineLvl w:val="1"/>
        <w:rPr>
          <w:rFonts w:ascii="Arial" w:hAnsi="Arial" w:eastAsia="黑体" w:cs="Times New Roman"/>
          <w:b/>
          <w:kern w:val="2"/>
          <w:sz w:val="32"/>
          <w:lang w:val="en-US" w:eastAsia="zh-CN" w:bidi="ar-SA"/>
        </w:rPr>
      </w:pPr>
      <w:r>
        <w:rPr>
          <w:rFonts w:hint="eastAsia" w:ascii="Arial" w:hAnsi="Arial" w:eastAsia="黑体" w:cs="Times New Roman"/>
          <w:b/>
          <w:kern w:val="2"/>
          <w:sz w:val="32"/>
          <w:lang w:val="en-US" w:eastAsia="zh-CN" w:bidi="ar-SA"/>
        </w:rPr>
        <w:t>3.2变电站电能质量监测</w:t>
      </w:r>
    </w:p>
    <w:p w14:paraId="1505929E">
      <w:pPr>
        <w:keepNext/>
        <w:keepLines/>
        <w:widowControl w:val="0"/>
        <w:numPr>
          <w:ilvl w:val="2"/>
          <w:numId w:val="0"/>
        </w:numPr>
        <w:spacing w:before="0" w:after="0" w:line="360" w:lineRule="auto"/>
        <w:ind w:left="720" w:hanging="720"/>
        <w:jc w:val="left"/>
        <w:outlineLvl w:val="2"/>
        <w:rPr>
          <w:rFonts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3.2.1系统架构</w:t>
      </w:r>
    </w:p>
    <w:p w14:paraId="6F790210">
      <w:pPr>
        <w:spacing w:line="360" w:lineRule="auto"/>
        <w:jc w:val="center"/>
        <w:rPr>
          <w:rFonts w:ascii="宋体" w:hAnsi="宋体" w:eastAsia="宋体" w:cs="宋体"/>
        </w:rPr>
      </w:pPr>
      <w:r>
        <w:rPr>
          <w:rFonts w:hint="eastAsia" w:ascii="宋体" w:hAnsi="宋体" w:eastAsia="宋体" w:cs="宋体"/>
        </w:rPr>
        <w:drawing>
          <wp:inline distT="0" distB="0" distL="114300" distR="114300">
            <wp:extent cx="4949825" cy="3444240"/>
            <wp:effectExtent l="0" t="0" r="3175" b="3810"/>
            <wp:docPr id="4" name="Picutre 2"/>
            <wp:cNvGraphicFramePr/>
            <a:graphic xmlns:a="http://schemas.openxmlformats.org/drawingml/2006/main">
              <a:graphicData uri="http://schemas.openxmlformats.org/drawingml/2006/picture">
                <pic:pic xmlns:pic="http://schemas.openxmlformats.org/drawingml/2006/picture">
                  <pic:nvPicPr>
                    <pic:cNvPr id="4" name="Picutre 2"/>
                    <pic:cNvPicPr/>
                  </pic:nvPicPr>
                  <pic:blipFill>
                    <a:blip r:embed="rId5"/>
                    <a:stretch>
                      <a:fillRect/>
                    </a:stretch>
                  </pic:blipFill>
                  <pic:spPr>
                    <a:xfrm>
                      <a:off x="0" y="0"/>
                      <a:ext cx="4949825" cy="3444240"/>
                    </a:xfrm>
                    <a:prstGeom prst="rect">
                      <a:avLst/>
                    </a:prstGeom>
                  </pic:spPr>
                </pic:pic>
              </a:graphicData>
            </a:graphic>
          </wp:inline>
        </w:drawing>
      </w:r>
    </w:p>
    <w:p w14:paraId="16F5B758">
      <w:pPr>
        <w:spacing w:line="360" w:lineRule="auto"/>
        <w:rPr>
          <w:rFonts w:ascii="宋体" w:hAnsi="宋体" w:eastAsia="宋体" w:cs="宋体"/>
        </w:rPr>
      </w:pPr>
    </w:p>
    <w:p w14:paraId="46E03848">
      <w:pPr>
        <w:keepNext/>
        <w:keepLines/>
        <w:widowControl w:val="0"/>
        <w:numPr>
          <w:ilvl w:val="2"/>
          <w:numId w:val="0"/>
        </w:numPr>
        <w:spacing w:before="0" w:after="0" w:line="360" w:lineRule="auto"/>
        <w:ind w:left="720" w:hanging="720"/>
        <w:jc w:val="left"/>
        <w:outlineLvl w:val="2"/>
        <w:rPr>
          <w:rFonts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3.2.2硬件系统</w:t>
      </w:r>
    </w:p>
    <w:p w14:paraId="273BA617">
      <w:pPr>
        <w:widowControl w:val="0"/>
        <w:spacing w:line="360" w:lineRule="auto"/>
        <w:ind w:firstLine="5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硬件系统包括电能质量数据釆集与接入、数据处理与存储、时间同步、</w:t>
      </w:r>
    </w:p>
    <w:p w14:paraId="652EE50A">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应用计算与显示、网络通信、</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等。硬件系统框图如下：</w:t>
      </w:r>
    </w:p>
    <w:p w14:paraId="453D9A10">
      <w:pPr>
        <w:spacing w:line="360" w:lineRule="auto"/>
        <w:jc w:val="center"/>
        <w:rPr>
          <w:rFonts w:ascii="宋体" w:hAnsi="宋体" w:eastAsia="宋体" w:cs="宋体"/>
        </w:rPr>
      </w:pPr>
      <w:r>
        <w:rPr>
          <w:rFonts w:hint="eastAsia" w:ascii="宋体" w:hAnsi="宋体" w:eastAsia="宋体" w:cs="宋体"/>
        </w:rPr>
        <w:drawing>
          <wp:inline distT="0" distB="0" distL="114300" distR="114300">
            <wp:extent cx="4338955" cy="2871470"/>
            <wp:effectExtent l="0" t="0" r="4445"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
                    <a:stretch>
                      <a:fillRect/>
                    </a:stretch>
                  </pic:blipFill>
                  <pic:spPr>
                    <a:xfrm>
                      <a:off x="0" y="0"/>
                      <a:ext cx="4338955" cy="2871470"/>
                    </a:xfrm>
                    <a:prstGeom prst="rect">
                      <a:avLst/>
                    </a:prstGeom>
                    <a:noFill/>
                    <a:ln>
                      <a:noFill/>
                    </a:ln>
                  </pic:spPr>
                </pic:pic>
              </a:graphicData>
            </a:graphic>
          </wp:inline>
        </w:drawing>
      </w:r>
    </w:p>
    <w:p w14:paraId="415F2846">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3.2.2.1数据采集</w:t>
      </w:r>
    </w:p>
    <w:p w14:paraId="67A4A891">
      <w:pPr>
        <w:widowControl w:val="0"/>
        <w:numPr>
          <w:ilvl w:val="0"/>
          <w:numId w:val="4"/>
        </w:numPr>
        <w:spacing w:line="360" w:lineRule="auto"/>
        <w:ind w:left="0" w:firstLine="4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底层感知</w:t>
      </w:r>
    </w:p>
    <w:p w14:paraId="7624E6D7">
      <w:pPr>
        <w:widowControl w:val="0"/>
        <w:numPr>
          <w:ilvl w:val="0"/>
          <w:numId w:val="5"/>
        </w:numPr>
        <w:tabs>
          <w:tab w:val="left" w:pos="993"/>
        </w:tabs>
        <w:spacing w:line="360" w:lineRule="auto"/>
        <w:ind w:firstLine="640"/>
        <w:jc w:val="both"/>
        <w:rPr>
          <w:rFonts w:ascii="宋体" w:hAnsi="宋体" w:eastAsia="宋体" w:cs="宋体"/>
          <w:kern w:val="0"/>
          <w:sz w:val="24"/>
          <w:szCs w:val="24"/>
          <w:lang w:val="zh-TW" w:eastAsia="zh-TW" w:bidi="zh-TW"/>
        </w:rPr>
      </w:pPr>
      <w:bookmarkStart w:id="6" w:name="bookmark6"/>
      <w:bookmarkEnd w:id="6"/>
      <w:r>
        <w:rPr>
          <w:rFonts w:hint="eastAsia" w:ascii="宋体" w:hAnsi="宋体" w:eastAsia="宋体" w:cs="宋体"/>
          <w:color w:val="000000"/>
          <w:kern w:val="0"/>
          <w:sz w:val="24"/>
          <w:szCs w:val="24"/>
          <w:lang w:val="zh-TW" w:eastAsia="zh-TW" w:bidi="zh-TW"/>
        </w:rPr>
        <w:t>变压器低压侧、</w:t>
      </w:r>
      <w:r>
        <w:rPr>
          <w:rFonts w:hint="eastAsia" w:ascii="宋体" w:hAnsi="宋体" w:eastAsia="宋体" w:cs="宋体"/>
          <w:color w:val="000000"/>
          <w:kern w:val="0"/>
          <w:sz w:val="24"/>
          <w:szCs w:val="24"/>
          <w:lang w:val="en-US" w:eastAsia="zh-CN" w:bidi="en-US"/>
        </w:rPr>
        <w:t>UPS</w:t>
      </w:r>
      <w:r>
        <w:rPr>
          <w:rFonts w:hint="eastAsia" w:ascii="宋体" w:hAnsi="宋体" w:eastAsia="宋体" w:cs="宋体"/>
          <w:color w:val="000000"/>
          <w:kern w:val="0"/>
          <w:sz w:val="24"/>
          <w:szCs w:val="24"/>
          <w:lang w:val="zh-TW" w:eastAsia="zh-TW" w:bidi="zh-TW"/>
        </w:rPr>
        <w:t>出线保留现有施耐德</w:t>
      </w:r>
      <w:r>
        <w:rPr>
          <w:rFonts w:hint="eastAsia" w:ascii="宋体" w:hAnsi="宋体" w:eastAsia="宋体" w:cs="宋体"/>
          <w:color w:val="000000"/>
          <w:kern w:val="0"/>
          <w:sz w:val="24"/>
          <w:szCs w:val="24"/>
          <w:lang w:val="en-US" w:eastAsia="zh-CN" w:bidi="en-US"/>
        </w:rPr>
        <w:t>ION7650</w:t>
      </w:r>
      <w:r>
        <w:rPr>
          <w:rFonts w:hint="eastAsia" w:ascii="宋体" w:hAnsi="宋体" w:eastAsia="宋体" w:cs="宋体"/>
          <w:color w:val="000000"/>
          <w:kern w:val="0"/>
          <w:sz w:val="24"/>
          <w:szCs w:val="24"/>
          <w:lang w:val="zh-TW" w:eastAsia="zh-TW" w:bidi="zh-TW"/>
        </w:rPr>
        <w:t>电能质量监测仪表，利用其以太网口接入；</w:t>
      </w:r>
    </w:p>
    <w:p w14:paraId="63F4CB99">
      <w:pPr>
        <w:widowControl w:val="0"/>
        <w:numPr>
          <w:ilvl w:val="0"/>
          <w:numId w:val="5"/>
        </w:numPr>
        <w:tabs>
          <w:tab w:val="left" w:pos="993"/>
        </w:tabs>
        <w:spacing w:line="360" w:lineRule="auto"/>
        <w:ind w:firstLine="640"/>
        <w:jc w:val="both"/>
        <w:rPr>
          <w:rFonts w:ascii="宋体" w:hAnsi="宋体" w:eastAsia="宋体" w:cs="宋体"/>
          <w:kern w:val="0"/>
          <w:sz w:val="24"/>
          <w:szCs w:val="24"/>
          <w:lang w:val="zh-TW" w:eastAsia="zh-TW" w:bidi="zh-TW"/>
        </w:rPr>
      </w:pPr>
      <w:bookmarkStart w:id="7" w:name="bookmark7"/>
      <w:bookmarkEnd w:id="7"/>
      <w:r>
        <w:rPr>
          <w:rFonts w:hint="eastAsia" w:ascii="宋体" w:hAnsi="宋体" w:eastAsia="宋体" w:cs="宋体"/>
          <w:color w:val="000000"/>
          <w:kern w:val="0"/>
          <w:sz w:val="24"/>
          <w:szCs w:val="24"/>
          <w:lang w:val="zh-TW" w:eastAsia="zh-TW" w:bidi="zh-TW"/>
        </w:rPr>
        <w:t>对监测仪表进行数据采集，并釆集断路器开合信号。</w:t>
      </w:r>
    </w:p>
    <w:p w14:paraId="5A52CE25">
      <w:pPr>
        <w:widowControl w:val="0"/>
        <w:spacing w:line="360" w:lineRule="auto"/>
        <w:ind w:firstLine="6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本系统数据至少包括以下内容：</w:t>
      </w:r>
    </w:p>
    <w:tbl>
      <w:tblPr>
        <w:tblStyle w:val="8"/>
        <w:tblW w:w="0" w:type="auto"/>
        <w:jc w:val="center"/>
        <w:tblLayout w:type="fixed"/>
        <w:tblCellMar>
          <w:top w:w="0" w:type="dxa"/>
          <w:left w:w="10" w:type="dxa"/>
          <w:bottom w:w="0" w:type="dxa"/>
          <w:right w:w="10" w:type="dxa"/>
        </w:tblCellMar>
      </w:tblPr>
      <w:tblGrid>
        <w:gridCol w:w="878"/>
        <w:gridCol w:w="763"/>
        <w:gridCol w:w="4190"/>
        <w:gridCol w:w="1958"/>
        <w:gridCol w:w="1282"/>
      </w:tblGrid>
      <w:tr w14:paraId="053B2279">
        <w:tblPrEx>
          <w:tblCellMar>
            <w:top w:w="0" w:type="dxa"/>
            <w:left w:w="10" w:type="dxa"/>
            <w:bottom w:w="0" w:type="dxa"/>
            <w:right w:w="10" w:type="dxa"/>
          </w:tblCellMar>
        </w:tblPrEx>
        <w:trPr>
          <w:trHeight w:val="403" w:hRule="exact"/>
          <w:jc w:val="center"/>
        </w:trPr>
        <w:tc>
          <w:tcPr>
            <w:tcW w:w="9071" w:type="dxa"/>
            <w:gridSpan w:val="5"/>
            <w:tcBorders>
              <w:top w:val="single" w:color="auto" w:sz="4" w:space="0"/>
              <w:left w:val="single" w:color="auto" w:sz="4" w:space="0"/>
              <w:right w:val="single" w:color="auto" w:sz="4" w:space="0"/>
            </w:tcBorders>
            <w:shd w:val="clear" w:color="auto" w:fill="FFFFFF"/>
          </w:tcPr>
          <w:p w14:paraId="544674D7">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数据采集</w:t>
            </w:r>
          </w:p>
        </w:tc>
      </w:tr>
      <w:tr w14:paraId="1A4B9C8A">
        <w:tblPrEx>
          <w:tblCellMar>
            <w:top w:w="0" w:type="dxa"/>
            <w:left w:w="10" w:type="dxa"/>
            <w:bottom w:w="0" w:type="dxa"/>
            <w:right w:w="10" w:type="dxa"/>
          </w:tblCellMar>
        </w:tblPrEx>
        <w:trPr>
          <w:trHeight w:val="396" w:hRule="exact"/>
          <w:jc w:val="center"/>
        </w:trPr>
        <w:tc>
          <w:tcPr>
            <w:tcW w:w="878" w:type="dxa"/>
            <w:tcBorders>
              <w:top w:val="single" w:color="auto" w:sz="4" w:space="0"/>
              <w:left w:val="single" w:color="auto" w:sz="4" w:space="0"/>
            </w:tcBorders>
            <w:shd w:val="clear" w:color="auto" w:fill="FFFFFF"/>
          </w:tcPr>
          <w:p w14:paraId="5B22B732">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序号</w:t>
            </w:r>
          </w:p>
        </w:tc>
        <w:tc>
          <w:tcPr>
            <w:tcW w:w="763" w:type="dxa"/>
            <w:tcBorders>
              <w:top w:val="single" w:color="auto" w:sz="4" w:space="0"/>
              <w:left w:val="single" w:color="auto" w:sz="4" w:space="0"/>
            </w:tcBorders>
            <w:shd w:val="clear" w:color="auto" w:fill="FFFFFF"/>
          </w:tcPr>
          <w:p w14:paraId="4CBD79EA">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名称</w:t>
            </w:r>
          </w:p>
        </w:tc>
        <w:tc>
          <w:tcPr>
            <w:tcW w:w="4190" w:type="dxa"/>
            <w:tcBorders>
              <w:top w:val="single" w:color="auto" w:sz="4" w:space="0"/>
              <w:left w:val="single" w:color="auto" w:sz="4" w:space="0"/>
            </w:tcBorders>
            <w:shd w:val="clear" w:color="auto" w:fill="FFFFFF"/>
          </w:tcPr>
          <w:p w14:paraId="443E7ACE">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釆集数据项</w:t>
            </w:r>
          </w:p>
        </w:tc>
        <w:tc>
          <w:tcPr>
            <w:tcW w:w="1958" w:type="dxa"/>
            <w:tcBorders>
              <w:top w:val="single" w:color="auto" w:sz="4" w:space="0"/>
              <w:left w:val="single" w:color="auto" w:sz="4" w:space="0"/>
            </w:tcBorders>
            <w:shd w:val="clear" w:color="auto" w:fill="FFFFFF"/>
          </w:tcPr>
          <w:p w14:paraId="68325382">
            <w:pPr>
              <w:widowControl w:val="0"/>
              <w:spacing w:line="360" w:lineRule="auto"/>
              <w:ind w:firstLine="7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数据存储</w:t>
            </w:r>
          </w:p>
        </w:tc>
        <w:tc>
          <w:tcPr>
            <w:tcW w:w="1282" w:type="dxa"/>
            <w:tcBorders>
              <w:top w:val="single" w:color="auto" w:sz="4" w:space="0"/>
              <w:left w:val="single" w:color="auto" w:sz="4" w:space="0"/>
              <w:right w:val="single" w:color="auto" w:sz="4" w:space="0"/>
            </w:tcBorders>
            <w:shd w:val="clear" w:color="auto" w:fill="FFFFFF"/>
          </w:tcPr>
          <w:p w14:paraId="46389AB4">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备注</w:t>
            </w:r>
          </w:p>
        </w:tc>
      </w:tr>
      <w:tr w14:paraId="3EA5865E">
        <w:tblPrEx>
          <w:tblCellMar>
            <w:top w:w="0" w:type="dxa"/>
            <w:left w:w="10" w:type="dxa"/>
            <w:bottom w:w="0" w:type="dxa"/>
            <w:right w:w="10" w:type="dxa"/>
          </w:tblCellMar>
        </w:tblPrEx>
        <w:trPr>
          <w:trHeight w:val="403" w:hRule="exact"/>
          <w:jc w:val="center"/>
        </w:trPr>
        <w:tc>
          <w:tcPr>
            <w:tcW w:w="878" w:type="dxa"/>
            <w:vMerge w:val="restart"/>
            <w:tcBorders>
              <w:top w:val="single" w:color="auto" w:sz="4" w:space="0"/>
              <w:left w:val="single" w:color="auto" w:sz="4" w:space="0"/>
            </w:tcBorders>
            <w:shd w:val="clear" w:color="auto" w:fill="FFFFFF"/>
            <w:vAlign w:val="center"/>
          </w:tcPr>
          <w:p w14:paraId="3E342C97">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1</w:t>
            </w:r>
          </w:p>
        </w:tc>
        <w:tc>
          <w:tcPr>
            <w:tcW w:w="763" w:type="dxa"/>
            <w:vMerge w:val="restart"/>
            <w:tcBorders>
              <w:top w:val="single" w:color="auto" w:sz="4" w:space="0"/>
              <w:left w:val="single" w:color="auto" w:sz="4" w:space="0"/>
            </w:tcBorders>
            <w:shd w:val="clear" w:color="auto" w:fill="FFFFFF"/>
            <w:vAlign w:val="center"/>
          </w:tcPr>
          <w:p w14:paraId="7C9B663A">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电能</w:t>
            </w:r>
          </w:p>
          <w:p w14:paraId="1DC0D042">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质量</w:t>
            </w:r>
          </w:p>
          <w:p w14:paraId="7FA849E4">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参数</w:t>
            </w:r>
          </w:p>
          <w:p w14:paraId="773480A8">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采集</w:t>
            </w:r>
          </w:p>
        </w:tc>
        <w:tc>
          <w:tcPr>
            <w:tcW w:w="4190" w:type="dxa"/>
            <w:tcBorders>
              <w:top w:val="single" w:color="auto" w:sz="4" w:space="0"/>
              <w:left w:val="single" w:color="auto" w:sz="4" w:space="0"/>
            </w:tcBorders>
            <w:shd w:val="clear" w:color="auto" w:fill="FFFFFF"/>
          </w:tcPr>
          <w:p w14:paraId="1A3D0984">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谐波电压、谐波电流</w:t>
            </w:r>
          </w:p>
        </w:tc>
        <w:tc>
          <w:tcPr>
            <w:tcW w:w="1958" w:type="dxa"/>
            <w:tcBorders>
              <w:top w:val="single" w:color="auto" w:sz="4" w:space="0"/>
              <w:left w:val="single" w:color="auto" w:sz="4" w:space="0"/>
            </w:tcBorders>
            <w:shd w:val="clear" w:color="auto" w:fill="FFFFFF"/>
          </w:tcPr>
          <w:p w14:paraId="53BB2962">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最大/小/平均值</w:t>
            </w:r>
          </w:p>
        </w:tc>
        <w:tc>
          <w:tcPr>
            <w:tcW w:w="1282" w:type="dxa"/>
            <w:vMerge w:val="restart"/>
            <w:tcBorders>
              <w:top w:val="single" w:color="auto" w:sz="4" w:space="0"/>
              <w:left w:val="single" w:color="auto" w:sz="4" w:space="0"/>
              <w:right w:val="single" w:color="auto" w:sz="4" w:space="0"/>
            </w:tcBorders>
            <w:shd w:val="clear" w:color="auto" w:fill="FFFFFF"/>
            <w:vAlign w:val="center"/>
          </w:tcPr>
          <w:p w14:paraId="691DB5A0">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釆集频率和存储频率可调</w:t>
            </w:r>
          </w:p>
        </w:tc>
      </w:tr>
      <w:tr w14:paraId="0FDF9EAE">
        <w:tblPrEx>
          <w:tblCellMar>
            <w:top w:w="0" w:type="dxa"/>
            <w:left w:w="10" w:type="dxa"/>
            <w:bottom w:w="0" w:type="dxa"/>
            <w:right w:w="10" w:type="dxa"/>
          </w:tblCellMar>
        </w:tblPrEx>
        <w:trPr>
          <w:trHeight w:val="778" w:hRule="exact"/>
          <w:jc w:val="center"/>
        </w:trPr>
        <w:tc>
          <w:tcPr>
            <w:tcW w:w="878" w:type="dxa"/>
            <w:vMerge w:val="continue"/>
            <w:tcBorders>
              <w:left w:val="single" w:color="auto" w:sz="4" w:space="0"/>
            </w:tcBorders>
            <w:shd w:val="clear" w:color="auto" w:fill="FFFFFF"/>
            <w:vAlign w:val="center"/>
          </w:tcPr>
          <w:p w14:paraId="75FEF81A">
            <w:pPr>
              <w:spacing w:line="360" w:lineRule="auto"/>
              <w:jc w:val="center"/>
              <w:rPr>
                <w:rFonts w:ascii="宋体" w:hAnsi="宋体" w:eastAsia="宋体" w:cs="宋体"/>
              </w:rPr>
            </w:pPr>
          </w:p>
        </w:tc>
        <w:tc>
          <w:tcPr>
            <w:tcW w:w="763" w:type="dxa"/>
            <w:vMerge w:val="continue"/>
            <w:tcBorders>
              <w:left w:val="single" w:color="auto" w:sz="4" w:space="0"/>
            </w:tcBorders>
            <w:shd w:val="clear" w:color="auto" w:fill="FFFFFF"/>
            <w:vAlign w:val="center"/>
          </w:tcPr>
          <w:p w14:paraId="4E68DE00">
            <w:pPr>
              <w:spacing w:line="360" w:lineRule="auto"/>
              <w:jc w:val="center"/>
              <w:rPr>
                <w:rFonts w:ascii="宋体" w:hAnsi="宋体" w:eastAsia="宋体" w:cs="宋体"/>
              </w:rPr>
            </w:pPr>
          </w:p>
        </w:tc>
        <w:tc>
          <w:tcPr>
            <w:tcW w:w="4190" w:type="dxa"/>
            <w:tcBorders>
              <w:top w:val="single" w:color="auto" w:sz="4" w:space="0"/>
              <w:left w:val="single" w:color="auto" w:sz="4" w:space="0"/>
            </w:tcBorders>
            <w:shd w:val="clear" w:color="auto" w:fill="FFFFFF"/>
          </w:tcPr>
          <w:p w14:paraId="5C70178A">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电度，有功、无功、视在功电度单项和三相值</w:t>
            </w:r>
          </w:p>
        </w:tc>
        <w:tc>
          <w:tcPr>
            <w:tcW w:w="1958" w:type="dxa"/>
            <w:tcBorders>
              <w:top w:val="single" w:color="auto" w:sz="4" w:space="0"/>
              <w:left w:val="single" w:color="auto" w:sz="4" w:space="0"/>
            </w:tcBorders>
            <w:shd w:val="clear" w:color="auto" w:fill="FFFFFF"/>
            <w:vAlign w:val="center"/>
          </w:tcPr>
          <w:p w14:paraId="1E89B093">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最大/小/平均值</w:t>
            </w:r>
          </w:p>
        </w:tc>
        <w:tc>
          <w:tcPr>
            <w:tcW w:w="1282" w:type="dxa"/>
            <w:vMerge w:val="continue"/>
            <w:tcBorders>
              <w:left w:val="single" w:color="auto" w:sz="4" w:space="0"/>
              <w:right w:val="single" w:color="auto" w:sz="4" w:space="0"/>
            </w:tcBorders>
            <w:shd w:val="clear" w:color="auto" w:fill="FFFFFF"/>
            <w:vAlign w:val="center"/>
          </w:tcPr>
          <w:p w14:paraId="45400998">
            <w:pPr>
              <w:spacing w:line="360" w:lineRule="auto"/>
              <w:rPr>
                <w:rFonts w:ascii="宋体" w:hAnsi="宋体" w:eastAsia="宋体" w:cs="宋体"/>
              </w:rPr>
            </w:pPr>
          </w:p>
        </w:tc>
      </w:tr>
      <w:tr w14:paraId="7BD0D6A1">
        <w:tblPrEx>
          <w:tblCellMar>
            <w:top w:w="0" w:type="dxa"/>
            <w:left w:w="10" w:type="dxa"/>
            <w:bottom w:w="0" w:type="dxa"/>
            <w:right w:w="10" w:type="dxa"/>
          </w:tblCellMar>
        </w:tblPrEx>
        <w:trPr>
          <w:trHeight w:val="785" w:hRule="exact"/>
          <w:jc w:val="center"/>
        </w:trPr>
        <w:tc>
          <w:tcPr>
            <w:tcW w:w="878" w:type="dxa"/>
            <w:vMerge w:val="continue"/>
            <w:tcBorders>
              <w:left w:val="single" w:color="auto" w:sz="4" w:space="0"/>
            </w:tcBorders>
            <w:shd w:val="clear" w:color="auto" w:fill="FFFFFF"/>
            <w:vAlign w:val="center"/>
          </w:tcPr>
          <w:p w14:paraId="42769E02">
            <w:pPr>
              <w:spacing w:line="360" w:lineRule="auto"/>
              <w:jc w:val="center"/>
              <w:rPr>
                <w:rFonts w:ascii="宋体" w:hAnsi="宋体" w:eastAsia="宋体" w:cs="宋体"/>
              </w:rPr>
            </w:pPr>
          </w:p>
        </w:tc>
        <w:tc>
          <w:tcPr>
            <w:tcW w:w="763" w:type="dxa"/>
            <w:vMerge w:val="continue"/>
            <w:tcBorders>
              <w:left w:val="single" w:color="auto" w:sz="4" w:space="0"/>
            </w:tcBorders>
            <w:shd w:val="clear" w:color="auto" w:fill="FFFFFF"/>
            <w:vAlign w:val="center"/>
          </w:tcPr>
          <w:p w14:paraId="2E14FA47">
            <w:pPr>
              <w:spacing w:line="360" w:lineRule="auto"/>
              <w:jc w:val="center"/>
              <w:rPr>
                <w:rFonts w:ascii="宋体" w:hAnsi="宋体" w:eastAsia="宋体" w:cs="宋体"/>
              </w:rPr>
            </w:pPr>
          </w:p>
        </w:tc>
        <w:tc>
          <w:tcPr>
            <w:tcW w:w="4190" w:type="dxa"/>
            <w:tcBorders>
              <w:top w:val="single" w:color="auto" w:sz="4" w:space="0"/>
              <w:left w:val="single" w:color="auto" w:sz="4" w:space="0"/>
            </w:tcBorders>
            <w:shd w:val="clear" w:color="auto" w:fill="FFFFFF"/>
          </w:tcPr>
          <w:p w14:paraId="4A29EE20">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电压、电流、有功功率、无功功率、视在功率、功率因数</w:t>
            </w:r>
          </w:p>
        </w:tc>
        <w:tc>
          <w:tcPr>
            <w:tcW w:w="1958" w:type="dxa"/>
            <w:tcBorders>
              <w:top w:val="single" w:color="auto" w:sz="4" w:space="0"/>
              <w:left w:val="single" w:color="auto" w:sz="4" w:space="0"/>
            </w:tcBorders>
            <w:shd w:val="clear" w:color="auto" w:fill="FFFFFF"/>
            <w:vAlign w:val="center"/>
          </w:tcPr>
          <w:p w14:paraId="64042D9E">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最大/小/平均值</w:t>
            </w:r>
          </w:p>
        </w:tc>
        <w:tc>
          <w:tcPr>
            <w:tcW w:w="1282" w:type="dxa"/>
            <w:vMerge w:val="continue"/>
            <w:tcBorders>
              <w:left w:val="single" w:color="auto" w:sz="4" w:space="0"/>
              <w:right w:val="single" w:color="auto" w:sz="4" w:space="0"/>
            </w:tcBorders>
            <w:shd w:val="clear" w:color="auto" w:fill="FFFFFF"/>
            <w:vAlign w:val="center"/>
          </w:tcPr>
          <w:p w14:paraId="185614C1">
            <w:pPr>
              <w:spacing w:line="360" w:lineRule="auto"/>
              <w:rPr>
                <w:rFonts w:ascii="宋体" w:hAnsi="宋体" w:eastAsia="宋体" w:cs="宋体"/>
              </w:rPr>
            </w:pPr>
          </w:p>
        </w:tc>
      </w:tr>
      <w:tr w14:paraId="5E878634">
        <w:tblPrEx>
          <w:tblCellMar>
            <w:top w:w="0" w:type="dxa"/>
            <w:left w:w="10" w:type="dxa"/>
            <w:bottom w:w="0" w:type="dxa"/>
            <w:right w:w="10" w:type="dxa"/>
          </w:tblCellMar>
        </w:tblPrEx>
        <w:trPr>
          <w:trHeight w:val="396" w:hRule="exact"/>
          <w:jc w:val="center"/>
        </w:trPr>
        <w:tc>
          <w:tcPr>
            <w:tcW w:w="878" w:type="dxa"/>
            <w:vMerge w:val="continue"/>
            <w:tcBorders>
              <w:left w:val="single" w:color="auto" w:sz="4" w:space="0"/>
            </w:tcBorders>
            <w:shd w:val="clear" w:color="auto" w:fill="FFFFFF"/>
            <w:vAlign w:val="center"/>
          </w:tcPr>
          <w:p w14:paraId="368B32D3">
            <w:pPr>
              <w:spacing w:line="360" w:lineRule="auto"/>
              <w:jc w:val="center"/>
              <w:rPr>
                <w:rFonts w:ascii="宋体" w:hAnsi="宋体" w:eastAsia="宋体" w:cs="宋体"/>
              </w:rPr>
            </w:pPr>
          </w:p>
        </w:tc>
        <w:tc>
          <w:tcPr>
            <w:tcW w:w="763" w:type="dxa"/>
            <w:vMerge w:val="continue"/>
            <w:tcBorders>
              <w:left w:val="single" w:color="auto" w:sz="4" w:space="0"/>
            </w:tcBorders>
            <w:shd w:val="clear" w:color="auto" w:fill="FFFFFF"/>
            <w:vAlign w:val="center"/>
          </w:tcPr>
          <w:p w14:paraId="3ED20297">
            <w:pPr>
              <w:spacing w:line="360" w:lineRule="auto"/>
              <w:jc w:val="center"/>
              <w:rPr>
                <w:rFonts w:ascii="宋体" w:hAnsi="宋体" w:eastAsia="宋体" w:cs="宋体"/>
              </w:rPr>
            </w:pPr>
          </w:p>
        </w:tc>
        <w:tc>
          <w:tcPr>
            <w:tcW w:w="4190" w:type="dxa"/>
            <w:tcBorders>
              <w:top w:val="single" w:color="auto" w:sz="4" w:space="0"/>
              <w:left w:val="single" w:color="auto" w:sz="4" w:space="0"/>
            </w:tcBorders>
            <w:shd w:val="clear" w:color="auto" w:fill="FFFFFF"/>
          </w:tcPr>
          <w:p w14:paraId="5D30A75D">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三相电压、电流不平衡度及各序分量</w:t>
            </w:r>
          </w:p>
        </w:tc>
        <w:tc>
          <w:tcPr>
            <w:tcW w:w="1958" w:type="dxa"/>
            <w:tcBorders>
              <w:top w:val="single" w:color="auto" w:sz="4" w:space="0"/>
              <w:left w:val="single" w:color="auto" w:sz="4" w:space="0"/>
            </w:tcBorders>
            <w:shd w:val="clear" w:color="auto" w:fill="FFFFFF"/>
          </w:tcPr>
          <w:p w14:paraId="1E61D932">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最大/小/平均值</w:t>
            </w:r>
          </w:p>
        </w:tc>
        <w:tc>
          <w:tcPr>
            <w:tcW w:w="1282" w:type="dxa"/>
            <w:vMerge w:val="continue"/>
            <w:tcBorders>
              <w:left w:val="single" w:color="auto" w:sz="4" w:space="0"/>
              <w:right w:val="single" w:color="auto" w:sz="4" w:space="0"/>
            </w:tcBorders>
            <w:shd w:val="clear" w:color="auto" w:fill="FFFFFF"/>
            <w:vAlign w:val="center"/>
          </w:tcPr>
          <w:p w14:paraId="401FB077">
            <w:pPr>
              <w:spacing w:line="360" w:lineRule="auto"/>
              <w:rPr>
                <w:rFonts w:ascii="宋体" w:hAnsi="宋体" w:eastAsia="宋体" w:cs="宋体"/>
              </w:rPr>
            </w:pPr>
          </w:p>
        </w:tc>
      </w:tr>
      <w:tr w14:paraId="49B59F3C">
        <w:tblPrEx>
          <w:tblCellMar>
            <w:top w:w="0" w:type="dxa"/>
            <w:left w:w="10" w:type="dxa"/>
            <w:bottom w:w="0" w:type="dxa"/>
            <w:right w:w="10" w:type="dxa"/>
          </w:tblCellMar>
        </w:tblPrEx>
        <w:trPr>
          <w:trHeight w:val="396" w:hRule="exact"/>
          <w:jc w:val="center"/>
        </w:trPr>
        <w:tc>
          <w:tcPr>
            <w:tcW w:w="878" w:type="dxa"/>
            <w:vMerge w:val="continue"/>
            <w:tcBorders>
              <w:left w:val="single" w:color="auto" w:sz="4" w:space="0"/>
            </w:tcBorders>
            <w:shd w:val="clear" w:color="auto" w:fill="FFFFFF"/>
            <w:vAlign w:val="center"/>
          </w:tcPr>
          <w:p w14:paraId="43171CA5">
            <w:pPr>
              <w:spacing w:line="360" w:lineRule="auto"/>
              <w:jc w:val="center"/>
              <w:rPr>
                <w:rFonts w:ascii="宋体" w:hAnsi="宋体" w:eastAsia="宋体" w:cs="宋体"/>
              </w:rPr>
            </w:pPr>
          </w:p>
        </w:tc>
        <w:tc>
          <w:tcPr>
            <w:tcW w:w="763" w:type="dxa"/>
            <w:vMerge w:val="continue"/>
            <w:tcBorders>
              <w:left w:val="single" w:color="auto" w:sz="4" w:space="0"/>
            </w:tcBorders>
            <w:shd w:val="clear" w:color="auto" w:fill="FFFFFF"/>
            <w:vAlign w:val="center"/>
          </w:tcPr>
          <w:p w14:paraId="2756BB73">
            <w:pPr>
              <w:spacing w:line="360" w:lineRule="auto"/>
              <w:jc w:val="center"/>
              <w:rPr>
                <w:rFonts w:ascii="宋体" w:hAnsi="宋体" w:eastAsia="宋体" w:cs="宋体"/>
              </w:rPr>
            </w:pPr>
          </w:p>
        </w:tc>
        <w:tc>
          <w:tcPr>
            <w:tcW w:w="4190" w:type="dxa"/>
            <w:tcBorders>
              <w:top w:val="single" w:color="auto" w:sz="4" w:space="0"/>
              <w:left w:val="single" w:color="auto" w:sz="4" w:space="0"/>
            </w:tcBorders>
            <w:shd w:val="clear" w:color="auto" w:fill="FFFFFF"/>
          </w:tcPr>
          <w:p w14:paraId="1088A456">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电压短时、长时闪变</w:t>
            </w:r>
          </w:p>
        </w:tc>
        <w:tc>
          <w:tcPr>
            <w:tcW w:w="1958" w:type="dxa"/>
            <w:tcBorders>
              <w:top w:val="single" w:color="auto" w:sz="4" w:space="0"/>
              <w:left w:val="single" w:color="auto" w:sz="4" w:space="0"/>
            </w:tcBorders>
            <w:shd w:val="clear" w:color="auto" w:fill="FFFFFF"/>
          </w:tcPr>
          <w:p w14:paraId="171FE727">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最大/小/平均值</w:t>
            </w:r>
          </w:p>
        </w:tc>
        <w:tc>
          <w:tcPr>
            <w:tcW w:w="1282" w:type="dxa"/>
            <w:vMerge w:val="continue"/>
            <w:tcBorders>
              <w:left w:val="single" w:color="auto" w:sz="4" w:space="0"/>
              <w:right w:val="single" w:color="auto" w:sz="4" w:space="0"/>
            </w:tcBorders>
            <w:shd w:val="clear" w:color="auto" w:fill="FFFFFF"/>
            <w:vAlign w:val="center"/>
          </w:tcPr>
          <w:p w14:paraId="4F414756">
            <w:pPr>
              <w:spacing w:line="360" w:lineRule="auto"/>
              <w:rPr>
                <w:rFonts w:ascii="宋体" w:hAnsi="宋体" w:eastAsia="宋体" w:cs="宋体"/>
              </w:rPr>
            </w:pPr>
          </w:p>
        </w:tc>
      </w:tr>
      <w:tr w14:paraId="4617D7AB">
        <w:tblPrEx>
          <w:tblCellMar>
            <w:top w:w="0" w:type="dxa"/>
            <w:left w:w="10" w:type="dxa"/>
            <w:bottom w:w="0" w:type="dxa"/>
            <w:right w:w="10" w:type="dxa"/>
          </w:tblCellMar>
        </w:tblPrEx>
        <w:trPr>
          <w:trHeight w:val="396" w:hRule="exact"/>
          <w:jc w:val="center"/>
        </w:trPr>
        <w:tc>
          <w:tcPr>
            <w:tcW w:w="878" w:type="dxa"/>
            <w:vMerge w:val="continue"/>
            <w:tcBorders>
              <w:left w:val="single" w:color="auto" w:sz="4" w:space="0"/>
            </w:tcBorders>
            <w:shd w:val="clear" w:color="auto" w:fill="FFFFFF"/>
            <w:vAlign w:val="center"/>
          </w:tcPr>
          <w:p w14:paraId="55D3F7E8">
            <w:pPr>
              <w:spacing w:line="360" w:lineRule="auto"/>
              <w:jc w:val="center"/>
              <w:rPr>
                <w:rFonts w:ascii="宋体" w:hAnsi="宋体" w:eastAsia="宋体" w:cs="宋体"/>
              </w:rPr>
            </w:pPr>
          </w:p>
        </w:tc>
        <w:tc>
          <w:tcPr>
            <w:tcW w:w="763" w:type="dxa"/>
            <w:vMerge w:val="continue"/>
            <w:tcBorders>
              <w:left w:val="single" w:color="auto" w:sz="4" w:space="0"/>
            </w:tcBorders>
            <w:shd w:val="clear" w:color="auto" w:fill="FFFFFF"/>
            <w:vAlign w:val="center"/>
          </w:tcPr>
          <w:p w14:paraId="77150694">
            <w:pPr>
              <w:spacing w:line="360" w:lineRule="auto"/>
              <w:jc w:val="center"/>
              <w:rPr>
                <w:rFonts w:ascii="宋体" w:hAnsi="宋体" w:eastAsia="宋体" w:cs="宋体"/>
              </w:rPr>
            </w:pPr>
          </w:p>
        </w:tc>
        <w:tc>
          <w:tcPr>
            <w:tcW w:w="4190" w:type="dxa"/>
            <w:tcBorders>
              <w:top w:val="single" w:color="auto" w:sz="4" w:space="0"/>
              <w:left w:val="single" w:color="auto" w:sz="4" w:space="0"/>
            </w:tcBorders>
            <w:shd w:val="clear" w:color="auto" w:fill="FFFFFF"/>
          </w:tcPr>
          <w:p w14:paraId="26299278">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频率</w:t>
            </w:r>
          </w:p>
        </w:tc>
        <w:tc>
          <w:tcPr>
            <w:tcW w:w="1958" w:type="dxa"/>
            <w:tcBorders>
              <w:top w:val="single" w:color="auto" w:sz="4" w:space="0"/>
              <w:left w:val="single" w:color="auto" w:sz="4" w:space="0"/>
            </w:tcBorders>
            <w:shd w:val="clear" w:color="auto" w:fill="FFFFFF"/>
          </w:tcPr>
          <w:p w14:paraId="04A1BB76">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最大/小/平均值</w:t>
            </w:r>
          </w:p>
        </w:tc>
        <w:tc>
          <w:tcPr>
            <w:tcW w:w="1282" w:type="dxa"/>
            <w:vMerge w:val="continue"/>
            <w:tcBorders>
              <w:left w:val="single" w:color="auto" w:sz="4" w:space="0"/>
              <w:right w:val="single" w:color="auto" w:sz="4" w:space="0"/>
            </w:tcBorders>
            <w:shd w:val="clear" w:color="auto" w:fill="FFFFFF"/>
            <w:vAlign w:val="center"/>
          </w:tcPr>
          <w:p w14:paraId="10F4CA1D">
            <w:pPr>
              <w:spacing w:line="360" w:lineRule="auto"/>
              <w:rPr>
                <w:rFonts w:ascii="宋体" w:hAnsi="宋体" w:eastAsia="宋体" w:cs="宋体"/>
              </w:rPr>
            </w:pPr>
          </w:p>
        </w:tc>
      </w:tr>
      <w:tr w14:paraId="07CE3EDB">
        <w:tblPrEx>
          <w:tblCellMar>
            <w:top w:w="0" w:type="dxa"/>
            <w:left w:w="10" w:type="dxa"/>
            <w:bottom w:w="0" w:type="dxa"/>
            <w:right w:w="10" w:type="dxa"/>
          </w:tblCellMar>
        </w:tblPrEx>
        <w:trPr>
          <w:trHeight w:val="403" w:hRule="exact"/>
          <w:jc w:val="center"/>
        </w:trPr>
        <w:tc>
          <w:tcPr>
            <w:tcW w:w="878" w:type="dxa"/>
            <w:vMerge w:val="restart"/>
            <w:tcBorders>
              <w:top w:val="single" w:color="auto" w:sz="4" w:space="0"/>
              <w:left w:val="single" w:color="auto" w:sz="4" w:space="0"/>
            </w:tcBorders>
            <w:shd w:val="clear" w:color="auto" w:fill="FFFFFF"/>
            <w:vAlign w:val="center"/>
          </w:tcPr>
          <w:p w14:paraId="686F4A3C">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2</w:t>
            </w:r>
          </w:p>
        </w:tc>
        <w:tc>
          <w:tcPr>
            <w:tcW w:w="763" w:type="dxa"/>
            <w:vMerge w:val="restart"/>
            <w:tcBorders>
              <w:top w:val="single" w:color="auto" w:sz="4" w:space="0"/>
              <w:left w:val="single" w:color="auto" w:sz="4" w:space="0"/>
            </w:tcBorders>
            <w:shd w:val="clear" w:color="auto" w:fill="FFFFFF"/>
            <w:vAlign w:val="center"/>
          </w:tcPr>
          <w:p w14:paraId="0EDCF552">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w:t>
            </w:r>
          </w:p>
          <w:p w14:paraId="191FEDF2">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事件</w:t>
            </w:r>
          </w:p>
        </w:tc>
        <w:tc>
          <w:tcPr>
            <w:tcW w:w="4190" w:type="dxa"/>
            <w:tcBorders>
              <w:top w:val="single" w:color="auto" w:sz="4" w:space="0"/>
              <w:left w:val="single" w:color="auto" w:sz="4" w:space="0"/>
            </w:tcBorders>
            <w:shd w:val="clear" w:color="auto" w:fill="FFFFFF"/>
          </w:tcPr>
          <w:p w14:paraId="64206758">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电压暂降：电压值、持续时间、波形数据</w:t>
            </w:r>
          </w:p>
        </w:tc>
        <w:tc>
          <w:tcPr>
            <w:tcW w:w="1958" w:type="dxa"/>
            <w:vMerge w:val="restart"/>
            <w:tcBorders>
              <w:top w:val="single" w:color="auto" w:sz="4" w:space="0"/>
              <w:left w:val="single" w:color="auto" w:sz="4" w:space="0"/>
            </w:tcBorders>
            <w:shd w:val="clear" w:color="auto" w:fill="FFFFFF"/>
            <w:vAlign w:val="center"/>
          </w:tcPr>
          <w:p w14:paraId="5D4FC58F">
            <w:pPr>
              <w:widowControl w:val="0"/>
              <w:spacing w:line="360" w:lineRule="auto"/>
              <w:ind w:firstLine="5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全部存储</w:t>
            </w:r>
          </w:p>
        </w:tc>
        <w:tc>
          <w:tcPr>
            <w:tcW w:w="1282" w:type="dxa"/>
            <w:vMerge w:val="restart"/>
            <w:tcBorders>
              <w:top w:val="single" w:color="auto" w:sz="4" w:space="0"/>
              <w:left w:val="single" w:color="auto" w:sz="4" w:space="0"/>
              <w:right w:val="single" w:color="auto" w:sz="4" w:space="0"/>
            </w:tcBorders>
            <w:shd w:val="clear" w:color="auto" w:fill="FFFFFF"/>
            <w:vAlign w:val="center"/>
          </w:tcPr>
          <w:p w14:paraId="0E94F4DA">
            <w:pPr>
              <w:widowControl w:val="0"/>
              <w:spacing w:line="360" w:lineRule="auto"/>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实时釆集</w:t>
            </w:r>
          </w:p>
        </w:tc>
      </w:tr>
      <w:tr w14:paraId="0C134CA1">
        <w:tblPrEx>
          <w:tblCellMar>
            <w:top w:w="0" w:type="dxa"/>
            <w:left w:w="10" w:type="dxa"/>
            <w:bottom w:w="0" w:type="dxa"/>
            <w:right w:w="10" w:type="dxa"/>
          </w:tblCellMar>
        </w:tblPrEx>
        <w:trPr>
          <w:trHeight w:val="396" w:hRule="exact"/>
          <w:jc w:val="center"/>
        </w:trPr>
        <w:tc>
          <w:tcPr>
            <w:tcW w:w="878" w:type="dxa"/>
            <w:vMerge w:val="continue"/>
            <w:tcBorders>
              <w:left w:val="single" w:color="auto" w:sz="4" w:space="0"/>
            </w:tcBorders>
            <w:shd w:val="clear" w:color="auto" w:fill="FFFFFF"/>
            <w:vAlign w:val="center"/>
          </w:tcPr>
          <w:p w14:paraId="7878C9EE">
            <w:pPr>
              <w:spacing w:line="360" w:lineRule="auto"/>
              <w:jc w:val="center"/>
              <w:rPr>
                <w:rFonts w:ascii="宋体" w:hAnsi="宋体" w:eastAsia="宋体" w:cs="宋体"/>
              </w:rPr>
            </w:pPr>
          </w:p>
        </w:tc>
        <w:tc>
          <w:tcPr>
            <w:tcW w:w="763" w:type="dxa"/>
            <w:vMerge w:val="continue"/>
            <w:tcBorders>
              <w:left w:val="single" w:color="auto" w:sz="4" w:space="0"/>
            </w:tcBorders>
            <w:shd w:val="clear" w:color="auto" w:fill="FFFFFF"/>
            <w:vAlign w:val="center"/>
          </w:tcPr>
          <w:p w14:paraId="0F541C01">
            <w:pPr>
              <w:spacing w:line="360" w:lineRule="auto"/>
              <w:jc w:val="center"/>
              <w:rPr>
                <w:rFonts w:ascii="宋体" w:hAnsi="宋体" w:eastAsia="宋体" w:cs="宋体"/>
              </w:rPr>
            </w:pPr>
          </w:p>
        </w:tc>
        <w:tc>
          <w:tcPr>
            <w:tcW w:w="4190" w:type="dxa"/>
            <w:tcBorders>
              <w:top w:val="single" w:color="auto" w:sz="4" w:space="0"/>
              <w:left w:val="single" w:color="auto" w:sz="4" w:space="0"/>
            </w:tcBorders>
            <w:shd w:val="clear" w:color="auto" w:fill="FFFFFF"/>
          </w:tcPr>
          <w:p w14:paraId="0CE2EE4B">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电压暂升：电压值、持续时间、波形数据</w:t>
            </w:r>
          </w:p>
        </w:tc>
        <w:tc>
          <w:tcPr>
            <w:tcW w:w="1958" w:type="dxa"/>
            <w:vMerge w:val="continue"/>
            <w:tcBorders>
              <w:left w:val="single" w:color="auto" w:sz="4" w:space="0"/>
            </w:tcBorders>
            <w:shd w:val="clear" w:color="auto" w:fill="FFFFFF"/>
            <w:vAlign w:val="center"/>
          </w:tcPr>
          <w:p w14:paraId="4A2DE189">
            <w:pPr>
              <w:spacing w:line="360" w:lineRule="auto"/>
              <w:rPr>
                <w:rFonts w:ascii="宋体" w:hAnsi="宋体" w:eastAsia="宋体" w:cs="宋体"/>
              </w:rPr>
            </w:pPr>
          </w:p>
        </w:tc>
        <w:tc>
          <w:tcPr>
            <w:tcW w:w="1282" w:type="dxa"/>
            <w:vMerge w:val="continue"/>
            <w:tcBorders>
              <w:left w:val="single" w:color="auto" w:sz="4" w:space="0"/>
              <w:right w:val="single" w:color="auto" w:sz="4" w:space="0"/>
            </w:tcBorders>
            <w:shd w:val="clear" w:color="auto" w:fill="FFFFFF"/>
            <w:vAlign w:val="center"/>
          </w:tcPr>
          <w:p w14:paraId="43D9DD93">
            <w:pPr>
              <w:spacing w:line="360" w:lineRule="auto"/>
              <w:rPr>
                <w:rFonts w:ascii="宋体" w:hAnsi="宋体" w:eastAsia="宋体" w:cs="宋体"/>
              </w:rPr>
            </w:pPr>
          </w:p>
        </w:tc>
      </w:tr>
      <w:tr w14:paraId="4E5AACCF">
        <w:tblPrEx>
          <w:tblCellMar>
            <w:top w:w="0" w:type="dxa"/>
            <w:left w:w="10" w:type="dxa"/>
            <w:bottom w:w="0" w:type="dxa"/>
            <w:right w:w="10" w:type="dxa"/>
          </w:tblCellMar>
        </w:tblPrEx>
        <w:trPr>
          <w:trHeight w:val="659" w:hRule="exact"/>
          <w:jc w:val="center"/>
        </w:trPr>
        <w:tc>
          <w:tcPr>
            <w:tcW w:w="878" w:type="dxa"/>
            <w:vMerge w:val="continue"/>
            <w:tcBorders>
              <w:left w:val="single" w:color="auto" w:sz="4" w:space="0"/>
            </w:tcBorders>
            <w:shd w:val="clear" w:color="auto" w:fill="FFFFFF"/>
            <w:vAlign w:val="center"/>
          </w:tcPr>
          <w:p w14:paraId="083F7065">
            <w:pPr>
              <w:spacing w:line="360" w:lineRule="auto"/>
              <w:jc w:val="center"/>
              <w:rPr>
                <w:rFonts w:ascii="宋体" w:hAnsi="宋体" w:eastAsia="宋体" w:cs="宋体"/>
              </w:rPr>
            </w:pPr>
          </w:p>
        </w:tc>
        <w:tc>
          <w:tcPr>
            <w:tcW w:w="763" w:type="dxa"/>
            <w:vMerge w:val="continue"/>
            <w:tcBorders>
              <w:left w:val="single" w:color="auto" w:sz="4" w:space="0"/>
            </w:tcBorders>
            <w:shd w:val="clear" w:color="auto" w:fill="FFFFFF"/>
            <w:vAlign w:val="center"/>
          </w:tcPr>
          <w:p w14:paraId="19FC0785">
            <w:pPr>
              <w:spacing w:line="360" w:lineRule="auto"/>
              <w:jc w:val="center"/>
              <w:rPr>
                <w:rFonts w:ascii="宋体" w:hAnsi="宋体" w:eastAsia="宋体" w:cs="宋体"/>
              </w:rPr>
            </w:pPr>
          </w:p>
        </w:tc>
        <w:tc>
          <w:tcPr>
            <w:tcW w:w="4190" w:type="dxa"/>
            <w:tcBorders>
              <w:top w:val="single" w:color="auto" w:sz="4" w:space="0"/>
              <w:left w:val="single" w:color="auto" w:sz="4" w:space="0"/>
            </w:tcBorders>
            <w:shd w:val="clear" w:color="auto" w:fill="FFFFFF"/>
          </w:tcPr>
          <w:p w14:paraId="49A95D76">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电压瞬态：电压值、持续时间、波形数据</w:t>
            </w:r>
          </w:p>
        </w:tc>
        <w:tc>
          <w:tcPr>
            <w:tcW w:w="1958" w:type="dxa"/>
            <w:vMerge w:val="continue"/>
            <w:tcBorders>
              <w:left w:val="single" w:color="auto" w:sz="4" w:space="0"/>
            </w:tcBorders>
            <w:shd w:val="clear" w:color="auto" w:fill="FFFFFF"/>
            <w:vAlign w:val="center"/>
          </w:tcPr>
          <w:p w14:paraId="00E367B1">
            <w:pPr>
              <w:spacing w:line="360" w:lineRule="auto"/>
              <w:rPr>
                <w:rFonts w:ascii="宋体" w:hAnsi="宋体" w:eastAsia="宋体" w:cs="宋体"/>
              </w:rPr>
            </w:pPr>
          </w:p>
        </w:tc>
        <w:tc>
          <w:tcPr>
            <w:tcW w:w="1282" w:type="dxa"/>
            <w:vMerge w:val="continue"/>
            <w:tcBorders>
              <w:left w:val="single" w:color="auto" w:sz="4" w:space="0"/>
              <w:right w:val="single" w:color="auto" w:sz="4" w:space="0"/>
            </w:tcBorders>
            <w:shd w:val="clear" w:color="auto" w:fill="FFFFFF"/>
            <w:vAlign w:val="center"/>
          </w:tcPr>
          <w:p w14:paraId="3A8984AD">
            <w:pPr>
              <w:spacing w:line="360" w:lineRule="auto"/>
              <w:rPr>
                <w:rFonts w:ascii="宋体" w:hAnsi="宋体" w:eastAsia="宋体" w:cs="宋体"/>
              </w:rPr>
            </w:pPr>
          </w:p>
        </w:tc>
      </w:tr>
      <w:tr w14:paraId="4F86F92F">
        <w:tblPrEx>
          <w:tblCellMar>
            <w:top w:w="0" w:type="dxa"/>
            <w:left w:w="10" w:type="dxa"/>
            <w:bottom w:w="0" w:type="dxa"/>
            <w:right w:w="10" w:type="dxa"/>
          </w:tblCellMar>
        </w:tblPrEx>
        <w:trPr>
          <w:trHeight w:val="403" w:hRule="exact"/>
          <w:jc w:val="center"/>
        </w:trPr>
        <w:tc>
          <w:tcPr>
            <w:tcW w:w="878" w:type="dxa"/>
            <w:tcBorders>
              <w:top w:val="single" w:color="auto" w:sz="4" w:space="0"/>
              <w:left w:val="single" w:color="auto" w:sz="4" w:space="0"/>
            </w:tcBorders>
            <w:shd w:val="clear" w:color="auto" w:fill="FFFFFF"/>
          </w:tcPr>
          <w:p w14:paraId="6ACFBBA8">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3</w:t>
            </w:r>
          </w:p>
        </w:tc>
        <w:tc>
          <w:tcPr>
            <w:tcW w:w="763" w:type="dxa"/>
            <w:tcBorders>
              <w:top w:val="single" w:color="auto" w:sz="4" w:space="0"/>
              <w:left w:val="single" w:color="auto" w:sz="4" w:space="0"/>
            </w:tcBorders>
            <w:shd w:val="clear" w:color="auto" w:fill="FFFFFF"/>
          </w:tcPr>
          <w:p w14:paraId="2C57CE39">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开关</w:t>
            </w:r>
          </w:p>
        </w:tc>
        <w:tc>
          <w:tcPr>
            <w:tcW w:w="4190" w:type="dxa"/>
            <w:tcBorders>
              <w:top w:val="single" w:color="auto" w:sz="4" w:space="0"/>
              <w:left w:val="single" w:color="auto" w:sz="4" w:space="0"/>
            </w:tcBorders>
            <w:shd w:val="clear" w:color="auto" w:fill="FFFFFF"/>
          </w:tcPr>
          <w:p w14:paraId="21A2D782">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开关量状态</w:t>
            </w:r>
          </w:p>
        </w:tc>
        <w:tc>
          <w:tcPr>
            <w:tcW w:w="1958" w:type="dxa"/>
            <w:tcBorders>
              <w:top w:val="single" w:color="auto" w:sz="4" w:space="0"/>
              <w:left w:val="single" w:color="auto" w:sz="4" w:space="0"/>
            </w:tcBorders>
            <w:shd w:val="clear" w:color="auto" w:fill="FFFFFF"/>
          </w:tcPr>
          <w:p w14:paraId="37FE8933">
            <w:pPr>
              <w:widowControl w:val="0"/>
              <w:spacing w:line="360" w:lineRule="auto"/>
              <w:ind w:firstLine="5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全部存储</w:t>
            </w:r>
          </w:p>
        </w:tc>
        <w:tc>
          <w:tcPr>
            <w:tcW w:w="1282" w:type="dxa"/>
            <w:tcBorders>
              <w:top w:val="single" w:color="auto" w:sz="4" w:space="0"/>
              <w:left w:val="single" w:color="auto" w:sz="4" w:space="0"/>
              <w:right w:val="single" w:color="auto" w:sz="4" w:space="0"/>
            </w:tcBorders>
            <w:shd w:val="clear" w:color="auto" w:fill="FFFFFF"/>
          </w:tcPr>
          <w:p w14:paraId="1A77D65D">
            <w:pPr>
              <w:widowControl w:val="0"/>
              <w:spacing w:line="360" w:lineRule="auto"/>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实时釆集</w:t>
            </w:r>
          </w:p>
        </w:tc>
      </w:tr>
      <w:tr w14:paraId="1C911928">
        <w:tblPrEx>
          <w:tblCellMar>
            <w:top w:w="0" w:type="dxa"/>
            <w:left w:w="10" w:type="dxa"/>
            <w:bottom w:w="0" w:type="dxa"/>
            <w:right w:w="10" w:type="dxa"/>
          </w:tblCellMar>
        </w:tblPrEx>
        <w:trPr>
          <w:trHeight w:val="389" w:hRule="exact"/>
          <w:jc w:val="center"/>
        </w:trPr>
        <w:tc>
          <w:tcPr>
            <w:tcW w:w="878" w:type="dxa"/>
            <w:vMerge w:val="restart"/>
            <w:tcBorders>
              <w:top w:val="single" w:color="auto" w:sz="4" w:space="0"/>
              <w:left w:val="single" w:color="auto" w:sz="4" w:space="0"/>
            </w:tcBorders>
            <w:shd w:val="clear" w:color="auto" w:fill="FFFFFF"/>
            <w:vAlign w:val="center"/>
          </w:tcPr>
          <w:p w14:paraId="0F681B06">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4</w:t>
            </w:r>
          </w:p>
        </w:tc>
        <w:tc>
          <w:tcPr>
            <w:tcW w:w="763" w:type="dxa"/>
            <w:vMerge w:val="restart"/>
            <w:tcBorders>
              <w:top w:val="single" w:color="auto" w:sz="4" w:space="0"/>
              <w:left w:val="single" w:color="auto" w:sz="4" w:space="0"/>
            </w:tcBorders>
            <w:shd w:val="clear" w:color="auto" w:fill="FFFFFF"/>
            <w:vAlign w:val="center"/>
          </w:tcPr>
          <w:p w14:paraId="1EBE6257">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告警</w:t>
            </w:r>
          </w:p>
          <w:p w14:paraId="180B6244">
            <w:pPr>
              <w:widowControl w:val="0"/>
              <w:spacing w:line="36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信息</w:t>
            </w:r>
          </w:p>
        </w:tc>
        <w:tc>
          <w:tcPr>
            <w:tcW w:w="4190" w:type="dxa"/>
            <w:tcBorders>
              <w:top w:val="single" w:color="auto" w:sz="4" w:space="0"/>
              <w:left w:val="single" w:color="auto" w:sz="4" w:space="0"/>
            </w:tcBorders>
            <w:shd w:val="clear" w:color="auto" w:fill="FFFFFF"/>
          </w:tcPr>
          <w:p w14:paraId="14771800">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越限报警数据釆集</w:t>
            </w:r>
          </w:p>
        </w:tc>
        <w:tc>
          <w:tcPr>
            <w:tcW w:w="1958" w:type="dxa"/>
            <w:tcBorders>
              <w:top w:val="single" w:color="auto" w:sz="4" w:space="0"/>
              <w:left w:val="single" w:color="auto" w:sz="4" w:space="0"/>
            </w:tcBorders>
            <w:shd w:val="clear" w:color="auto" w:fill="FFFFFF"/>
          </w:tcPr>
          <w:p w14:paraId="68FA544E">
            <w:pPr>
              <w:widowControl w:val="0"/>
              <w:spacing w:line="360" w:lineRule="auto"/>
              <w:ind w:firstLine="5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全部存储</w:t>
            </w:r>
          </w:p>
        </w:tc>
        <w:tc>
          <w:tcPr>
            <w:tcW w:w="1282" w:type="dxa"/>
            <w:tcBorders>
              <w:top w:val="single" w:color="auto" w:sz="4" w:space="0"/>
              <w:left w:val="single" w:color="auto" w:sz="4" w:space="0"/>
              <w:right w:val="single" w:color="auto" w:sz="4" w:space="0"/>
            </w:tcBorders>
            <w:shd w:val="clear" w:color="auto" w:fill="FFFFFF"/>
          </w:tcPr>
          <w:p w14:paraId="24DF210C">
            <w:pPr>
              <w:widowControl w:val="0"/>
              <w:spacing w:line="360" w:lineRule="auto"/>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阀值可调</w:t>
            </w:r>
          </w:p>
        </w:tc>
      </w:tr>
      <w:tr w14:paraId="453783DA">
        <w:tblPrEx>
          <w:tblCellMar>
            <w:top w:w="0" w:type="dxa"/>
            <w:left w:w="10" w:type="dxa"/>
            <w:bottom w:w="0" w:type="dxa"/>
            <w:right w:w="10" w:type="dxa"/>
          </w:tblCellMar>
        </w:tblPrEx>
        <w:trPr>
          <w:trHeight w:val="410" w:hRule="exact"/>
          <w:jc w:val="center"/>
        </w:trPr>
        <w:tc>
          <w:tcPr>
            <w:tcW w:w="878" w:type="dxa"/>
            <w:vMerge w:val="continue"/>
            <w:tcBorders>
              <w:left w:val="single" w:color="auto" w:sz="4" w:space="0"/>
            </w:tcBorders>
            <w:shd w:val="clear" w:color="auto" w:fill="FFFFFF"/>
            <w:vAlign w:val="center"/>
          </w:tcPr>
          <w:p w14:paraId="000DEB91">
            <w:pPr>
              <w:spacing w:line="360" w:lineRule="auto"/>
              <w:rPr>
                <w:rFonts w:ascii="宋体" w:hAnsi="宋体" w:eastAsia="宋体" w:cs="宋体"/>
              </w:rPr>
            </w:pPr>
          </w:p>
        </w:tc>
        <w:tc>
          <w:tcPr>
            <w:tcW w:w="763" w:type="dxa"/>
            <w:vMerge w:val="continue"/>
            <w:tcBorders>
              <w:left w:val="single" w:color="auto" w:sz="4" w:space="0"/>
            </w:tcBorders>
            <w:shd w:val="clear" w:color="auto" w:fill="FFFFFF"/>
            <w:vAlign w:val="center"/>
          </w:tcPr>
          <w:p w14:paraId="019910EF">
            <w:pPr>
              <w:spacing w:line="360" w:lineRule="auto"/>
              <w:rPr>
                <w:rFonts w:ascii="宋体" w:hAnsi="宋体" w:eastAsia="宋体" w:cs="宋体"/>
              </w:rPr>
            </w:pPr>
          </w:p>
        </w:tc>
        <w:tc>
          <w:tcPr>
            <w:tcW w:w="4190" w:type="dxa"/>
            <w:tcBorders>
              <w:top w:val="single" w:color="auto" w:sz="4" w:space="0"/>
              <w:left w:val="single" w:color="auto" w:sz="4" w:space="0"/>
            </w:tcBorders>
            <w:shd w:val="clear" w:color="auto" w:fill="FFFFFF"/>
            <w:vAlign w:val="bottom"/>
          </w:tcPr>
          <w:p w14:paraId="795609D4">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设备故障告警</w:t>
            </w:r>
          </w:p>
        </w:tc>
        <w:tc>
          <w:tcPr>
            <w:tcW w:w="1958" w:type="dxa"/>
            <w:vMerge w:val="restart"/>
            <w:tcBorders>
              <w:top w:val="single" w:color="auto" w:sz="4" w:space="0"/>
              <w:left w:val="single" w:color="auto" w:sz="4" w:space="0"/>
            </w:tcBorders>
            <w:shd w:val="clear" w:color="auto" w:fill="FFFFFF"/>
            <w:vAlign w:val="center"/>
          </w:tcPr>
          <w:p w14:paraId="71A85177">
            <w:pPr>
              <w:widowControl w:val="0"/>
              <w:spacing w:line="360" w:lineRule="auto"/>
              <w:ind w:firstLine="5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全部存储</w:t>
            </w:r>
          </w:p>
        </w:tc>
        <w:tc>
          <w:tcPr>
            <w:tcW w:w="1282" w:type="dxa"/>
            <w:vMerge w:val="restart"/>
            <w:tcBorders>
              <w:top w:val="single" w:color="auto" w:sz="4" w:space="0"/>
              <w:left w:val="single" w:color="auto" w:sz="4" w:space="0"/>
              <w:right w:val="single" w:color="auto" w:sz="4" w:space="0"/>
            </w:tcBorders>
            <w:shd w:val="clear" w:color="auto" w:fill="FFFFFF"/>
            <w:vAlign w:val="center"/>
          </w:tcPr>
          <w:p w14:paraId="0D59FD3A">
            <w:pPr>
              <w:widowControl w:val="0"/>
              <w:spacing w:line="360" w:lineRule="auto"/>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实时采集</w:t>
            </w:r>
          </w:p>
        </w:tc>
      </w:tr>
      <w:tr w14:paraId="0B6C5177">
        <w:tblPrEx>
          <w:tblCellMar>
            <w:top w:w="0" w:type="dxa"/>
            <w:left w:w="10" w:type="dxa"/>
            <w:bottom w:w="0" w:type="dxa"/>
            <w:right w:w="10" w:type="dxa"/>
          </w:tblCellMar>
        </w:tblPrEx>
        <w:trPr>
          <w:trHeight w:val="410" w:hRule="exact"/>
          <w:jc w:val="center"/>
        </w:trPr>
        <w:tc>
          <w:tcPr>
            <w:tcW w:w="878" w:type="dxa"/>
            <w:vMerge w:val="continue"/>
            <w:tcBorders>
              <w:left w:val="single" w:color="auto" w:sz="4" w:space="0"/>
              <w:bottom w:val="single" w:color="auto" w:sz="4" w:space="0"/>
            </w:tcBorders>
            <w:shd w:val="clear" w:color="auto" w:fill="FFFFFF"/>
            <w:vAlign w:val="center"/>
          </w:tcPr>
          <w:p w14:paraId="42BCE352">
            <w:pPr>
              <w:spacing w:line="360" w:lineRule="auto"/>
              <w:rPr>
                <w:rFonts w:ascii="宋体" w:hAnsi="宋体" w:eastAsia="宋体" w:cs="宋体"/>
              </w:rPr>
            </w:pPr>
          </w:p>
        </w:tc>
        <w:tc>
          <w:tcPr>
            <w:tcW w:w="763" w:type="dxa"/>
            <w:vMerge w:val="continue"/>
            <w:tcBorders>
              <w:left w:val="single" w:color="auto" w:sz="4" w:space="0"/>
              <w:bottom w:val="single" w:color="auto" w:sz="4" w:space="0"/>
            </w:tcBorders>
            <w:shd w:val="clear" w:color="auto" w:fill="FFFFFF"/>
            <w:vAlign w:val="center"/>
          </w:tcPr>
          <w:p w14:paraId="4376D9BD">
            <w:pPr>
              <w:spacing w:line="360" w:lineRule="auto"/>
              <w:rPr>
                <w:rFonts w:ascii="宋体" w:hAnsi="宋体" w:eastAsia="宋体" w:cs="宋体"/>
              </w:rPr>
            </w:pPr>
          </w:p>
        </w:tc>
        <w:tc>
          <w:tcPr>
            <w:tcW w:w="4190" w:type="dxa"/>
            <w:tcBorders>
              <w:top w:val="single" w:color="auto" w:sz="4" w:space="0"/>
              <w:left w:val="single" w:color="auto" w:sz="4" w:space="0"/>
              <w:bottom w:val="single" w:color="auto" w:sz="4" w:space="0"/>
            </w:tcBorders>
            <w:shd w:val="clear" w:color="auto" w:fill="FFFFFF"/>
          </w:tcPr>
          <w:p w14:paraId="70A3D820">
            <w:pPr>
              <w:widowControl w:val="0"/>
              <w:spacing w:line="36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网络通信告警</w:t>
            </w:r>
          </w:p>
        </w:tc>
        <w:tc>
          <w:tcPr>
            <w:tcW w:w="1958" w:type="dxa"/>
            <w:vMerge w:val="continue"/>
            <w:tcBorders>
              <w:left w:val="single" w:color="auto" w:sz="4" w:space="0"/>
              <w:bottom w:val="single" w:color="auto" w:sz="4" w:space="0"/>
            </w:tcBorders>
            <w:shd w:val="clear" w:color="auto" w:fill="FFFFFF"/>
            <w:vAlign w:val="center"/>
          </w:tcPr>
          <w:p w14:paraId="752B0835">
            <w:pPr>
              <w:spacing w:line="360" w:lineRule="auto"/>
              <w:rPr>
                <w:rFonts w:ascii="宋体" w:hAnsi="宋体" w:eastAsia="宋体" w:cs="宋体"/>
              </w:rPr>
            </w:pPr>
          </w:p>
        </w:tc>
        <w:tc>
          <w:tcPr>
            <w:tcW w:w="1282" w:type="dxa"/>
            <w:vMerge w:val="continue"/>
            <w:tcBorders>
              <w:left w:val="single" w:color="auto" w:sz="4" w:space="0"/>
              <w:bottom w:val="single" w:color="auto" w:sz="4" w:space="0"/>
              <w:right w:val="single" w:color="auto" w:sz="4" w:space="0"/>
            </w:tcBorders>
            <w:shd w:val="clear" w:color="auto" w:fill="FFFFFF"/>
            <w:vAlign w:val="center"/>
          </w:tcPr>
          <w:p w14:paraId="4A5846CA">
            <w:pPr>
              <w:spacing w:line="360" w:lineRule="auto"/>
              <w:rPr>
                <w:rFonts w:ascii="宋体" w:hAnsi="宋体" w:eastAsia="宋体" w:cs="宋体"/>
              </w:rPr>
            </w:pPr>
          </w:p>
        </w:tc>
      </w:tr>
    </w:tbl>
    <w:p w14:paraId="26568601">
      <w:pPr>
        <w:spacing w:line="360" w:lineRule="auto"/>
        <w:rPr>
          <w:rFonts w:ascii="宋体" w:hAnsi="宋体" w:eastAsia="宋体" w:cs="宋体"/>
        </w:rPr>
      </w:pPr>
    </w:p>
    <w:p w14:paraId="57077D86">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3.2.2.2接入方式</w:t>
      </w:r>
    </w:p>
    <w:p w14:paraId="34A6C79E">
      <w:pPr>
        <w:widowControl w:val="0"/>
        <w:spacing w:line="360" w:lineRule="auto"/>
        <w:ind w:firstLine="567"/>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每个站配置若干边沿计算网关，网关具备</w:t>
      </w:r>
      <w:r>
        <w:rPr>
          <w:rFonts w:hint="eastAsia" w:ascii="宋体" w:hAnsi="宋体" w:eastAsia="宋体" w:cs="宋体"/>
          <w:color w:val="000000"/>
          <w:kern w:val="0"/>
          <w:sz w:val="24"/>
          <w:szCs w:val="24"/>
          <w:lang w:val="en-US" w:eastAsia="zh-CN" w:bidi="en-US"/>
        </w:rPr>
        <w:t>RS-485</w:t>
      </w:r>
      <w:r>
        <w:rPr>
          <w:rFonts w:hint="eastAsia" w:ascii="宋体" w:hAnsi="宋体" w:eastAsia="宋体" w:cs="宋体"/>
          <w:color w:val="000000"/>
          <w:kern w:val="0"/>
          <w:sz w:val="24"/>
          <w:szCs w:val="24"/>
          <w:lang w:val="zh-TW" w:eastAsia="zh-TW" w:bidi="zh-TW"/>
        </w:rPr>
        <w:t>现场总线接口、</w:t>
      </w:r>
      <w:r>
        <w:rPr>
          <w:rFonts w:hint="eastAsia" w:ascii="宋体" w:hAnsi="宋体" w:eastAsia="宋体" w:cs="宋体"/>
          <w:color w:val="000000"/>
          <w:kern w:val="0"/>
          <w:sz w:val="24"/>
          <w:szCs w:val="24"/>
          <w:lang w:val="en-US" w:eastAsia="zh-CN" w:bidi="en-US"/>
        </w:rPr>
        <w:t>CAN</w:t>
      </w:r>
      <w:r>
        <w:rPr>
          <w:rFonts w:hint="eastAsia" w:ascii="宋体" w:hAnsi="宋体" w:eastAsia="宋体" w:cs="宋体"/>
          <w:color w:val="000000"/>
          <w:kern w:val="0"/>
          <w:sz w:val="24"/>
          <w:szCs w:val="24"/>
          <w:lang w:val="zh-TW" w:eastAsia="zh-TW" w:bidi="zh-TW"/>
        </w:rPr>
        <w:t>总线接口、以太网接口、数字输入接口、数字输出接口等。网关完成与各仪表、设备的通信接口匹配，通信数据解析，数据处理标准化，基于数据的控制组态，数据打包交换等。每个站配置1台交换机，所有网关数据通过交换机为本地服务器提供数据。</w:t>
      </w:r>
    </w:p>
    <w:p w14:paraId="1EE8ACDF">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3.2.2.3本地数据存储与应用</w:t>
      </w:r>
    </w:p>
    <w:p w14:paraId="7BBDFFB3">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中心配置2台国产服务器用于完成本地数据存储、应用计算和2台27英寸曲面显示器。</w:t>
      </w:r>
    </w:p>
    <w:p w14:paraId="0E7244D0">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各站点配置1台国产服务器用于完成本地数据存储、应用计算，配置国产自主可控操作系统、数据库及应用软件。配置1台国产计算机用于显示本地电站数据和访问电能质量管理中心软件。</w:t>
      </w:r>
    </w:p>
    <w:p w14:paraId="021336A5">
      <w:pPr>
        <w:keepNext/>
        <w:keepLines/>
        <w:widowControl w:val="0"/>
        <w:numPr>
          <w:ilvl w:val="2"/>
          <w:numId w:val="0"/>
        </w:numPr>
        <w:spacing w:before="0" w:after="0" w:line="360" w:lineRule="auto"/>
        <w:ind w:left="720" w:hanging="720"/>
        <w:jc w:val="left"/>
        <w:outlineLvl w:val="2"/>
        <w:rPr>
          <w:rFonts w:ascii="Times New Roman" w:hAnsi="Times New Roman" w:eastAsia="宋体" w:cs="Times New Roman"/>
          <w:b/>
          <w:bCs/>
          <w:kern w:val="2"/>
          <w:sz w:val="32"/>
          <w:szCs w:val="32"/>
          <w:lang w:val="en-US" w:eastAsia="zh-CN" w:bidi="ar-SA"/>
        </w:rPr>
      </w:pPr>
      <w:r>
        <w:rPr>
          <w:rFonts w:hint="eastAsia" w:ascii="Times New Roman" w:hAnsi="Times New Roman" w:eastAsia="宋体" w:cs="Times New Roman"/>
          <w:b/>
          <w:bCs/>
          <w:kern w:val="2"/>
          <w:sz w:val="32"/>
          <w:szCs w:val="32"/>
          <w:lang w:val="en-US" w:eastAsia="zh-CN" w:bidi="ar-SA"/>
        </w:rPr>
        <w:t>3.2.3软件系统</w:t>
      </w:r>
    </w:p>
    <w:p w14:paraId="74C101C8">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作为系统的服务平台，主要实现以下功能模块：电力态势显示、设备管理、运行报表、定时抄表、统计分析、接口管理、系统管理、第三方软件接入等。</w:t>
      </w:r>
    </w:p>
    <w:p w14:paraId="4664ACE6">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bookmarkStart w:id="8" w:name="OLE_LINK338"/>
      <w:r>
        <w:rPr>
          <w:rFonts w:hint="eastAsia" w:ascii="Calibri" w:hAnsi="Calibri" w:eastAsia="宋体" w:cs="Times New Roman"/>
          <w:color w:val="000000"/>
          <w:spacing w:val="11"/>
          <w:kern w:val="2"/>
          <w:sz w:val="30"/>
          <w:lang w:val="en-US" w:eastAsia="zh-CN" w:bidi="ar-SA"/>
        </w:rPr>
        <w:t>3.2.3.1</w:t>
      </w:r>
      <w:bookmarkEnd w:id="8"/>
      <w:r>
        <w:rPr>
          <w:rFonts w:hint="eastAsia" w:ascii="Calibri" w:hAnsi="Calibri" w:eastAsia="宋体" w:cs="Times New Roman"/>
          <w:color w:val="000000"/>
          <w:spacing w:val="11"/>
          <w:kern w:val="2"/>
          <w:sz w:val="30"/>
          <w:lang w:val="en-US" w:eastAsia="zh-CN" w:bidi="ar-SA"/>
        </w:rPr>
        <w:t>软件系统结构</w:t>
      </w:r>
    </w:p>
    <w:p w14:paraId="72D5BE37">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系统的体系结构设计时采用插件式设计思想，针对不同的业务功能封装成不同功能模块；系统预留多种数据库接口，供接入第三方软件，实现业务数据和其他数据的共享。</w:t>
      </w:r>
    </w:p>
    <w:p w14:paraId="4A860B74">
      <w:pPr>
        <w:widowControl w:val="0"/>
        <w:spacing w:line="360" w:lineRule="auto"/>
        <w:ind w:firstLine="560"/>
        <w:jc w:val="both"/>
        <w:rPr>
          <w:rFonts w:ascii="宋体" w:hAnsi="宋体" w:eastAsia="宋体" w:cs="宋体"/>
          <w:kern w:val="0"/>
          <w:sz w:val="15"/>
          <w:szCs w:val="15"/>
          <w:lang w:val="zh-TW" w:eastAsia="zh-CN" w:bidi="zh-TW"/>
        </w:rPr>
      </w:pPr>
      <w:r>
        <w:rPr>
          <w:rFonts w:hint="eastAsia" w:ascii="宋体" w:hAnsi="宋体" w:eastAsia="宋体" w:cs="宋体"/>
          <w:color w:val="000000"/>
          <w:kern w:val="0"/>
          <w:sz w:val="24"/>
          <w:szCs w:val="24"/>
          <w:lang w:val="zh-TW" w:eastAsia="zh-TW" w:bidi="zh-TW"/>
        </w:rPr>
        <w:t>系统结构选择上对于有大量数据交互、丰富的表现形式等要求的，釆用</w:t>
      </w:r>
      <w:r>
        <w:rPr>
          <w:rFonts w:hint="eastAsia" w:ascii="宋体" w:hAnsi="宋体" w:eastAsia="宋体" w:cs="宋体"/>
          <w:color w:val="000000"/>
          <w:kern w:val="0"/>
          <w:sz w:val="24"/>
          <w:szCs w:val="24"/>
          <w:lang w:val="en-US" w:eastAsia="zh-CN" w:bidi="en-US"/>
        </w:rPr>
        <w:t>C/S</w:t>
      </w:r>
      <w:r>
        <w:rPr>
          <w:rFonts w:hint="eastAsia" w:ascii="宋体" w:hAnsi="宋体" w:eastAsia="宋体" w:cs="宋体"/>
          <w:color w:val="000000"/>
          <w:kern w:val="0"/>
          <w:sz w:val="24"/>
          <w:szCs w:val="24"/>
          <w:lang w:val="zh-TW" w:eastAsia="zh-TW" w:bidi="zh-TW"/>
        </w:rPr>
        <w:t>的结构;对于数据交互不大,网络条件有限的釆用</w:t>
      </w:r>
      <w:r>
        <w:rPr>
          <w:rFonts w:hint="eastAsia" w:ascii="宋体" w:hAnsi="宋体" w:eastAsia="宋体" w:cs="宋体"/>
          <w:color w:val="000000"/>
          <w:kern w:val="0"/>
          <w:sz w:val="24"/>
          <w:szCs w:val="24"/>
          <w:lang w:val="en-US" w:eastAsia="zh-CN" w:bidi="en-US"/>
        </w:rPr>
        <w:t>B/S</w:t>
      </w:r>
      <w:r>
        <w:rPr>
          <w:rFonts w:hint="eastAsia" w:ascii="宋体" w:hAnsi="宋体" w:eastAsia="宋体" w:cs="宋体"/>
          <w:color w:val="000000"/>
          <w:kern w:val="0"/>
          <w:sz w:val="24"/>
          <w:szCs w:val="24"/>
          <w:lang w:val="zh-TW" w:eastAsia="zh-TW" w:bidi="zh-TW"/>
        </w:rPr>
        <w:t>的结构方式。</w:t>
      </w:r>
    </w:p>
    <w:p w14:paraId="71E5CAA5">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3.2.3.2电力态势显示</w:t>
      </w:r>
    </w:p>
    <w:p w14:paraId="368A7784">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建立标准化的电力态势显示平台，系统提供配电系统组态工具，以二维组态/三维虚拟组态变电站配电系统一次图，要求各配电设备（部件）釆用数字装配、数据驱动技术实现组态，每个设备（部件）包括但不限于:设备名称、型号规格、主要参数、品牌厂家、生产日期、说明文档、三维组态图形、二维组态图形、供电用户名称、标称负荷、三相/单相、电压等级、需要系数等，以此承载完整的设备档案并实现全系统负荷计算与分析。</w:t>
      </w:r>
    </w:p>
    <w:p w14:paraId="3692B161">
      <w:pPr>
        <w:widowControl w:val="0"/>
        <w:numPr>
          <w:ilvl w:val="0"/>
          <w:numId w:val="6"/>
        </w:numPr>
        <w:spacing w:line="360" w:lineRule="auto"/>
        <w:ind w:left="0" w:firstLine="42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实时监测</w:t>
      </w:r>
    </w:p>
    <w:p w14:paraId="790F2B60">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在电力态势显示组态图上实时直观显示配电线路的运行状态,包括供配电关系、各配电设备工作状态、供电参数、供电质量参数等。实时监测各回路电压、电流、功率、功率因数等电参数信息，动态监视各配电回</w:t>
      </w:r>
      <w:r>
        <w:rPr>
          <w:rFonts w:hint="eastAsia" w:ascii="宋体" w:hAnsi="宋体" w:eastAsia="宋体" w:cs="宋体"/>
          <w:color w:val="000000"/>
          <w:kern w:val="0"/>
          <w:sz w:val="24"/>
          <w:szCs w:val="24"/>
          <w:lang w:val="en-US" w:eastAsia="zh-CN" w:bidi="zh-TW"/>
        </w:rPr>
        <w:t>路</w:t>
      </w:r>
      <w:r>
        <w:rPr>
          <w:rFonts w:hint="eastAsia" w:ascii="宋体" w:hAnsi="宋体" w:eastAsia="宋体" w:cs="宋体"/>
          <w:color w:val="000000"/>
          <w:kern w:val="0"/>
          <w:sz w:val="24"/>
          <w:szCs w:val="24"/>
          <w:lang w:val="zh-TW" w:eastAsia="zh-TW" w:bidi="zh-TW"/>
        </w:rPr>
        <w:t>断路器合分闸状态及有关故障、告警等信号。</w:t>
      </w:r>
      <w:r>
        <w:rPr>
          <w:rFonts w:hint="eastAsia" w:ascii="宋体" w:hAnsi="宋体" w:eastAsia="宋体" w:cs="宋体"/>
          <w:color w:val="000000"/>
          <w:kern w:val="0"/>
          <w:sz w:val="24"/>
          <w:szCs w:val="24"/>
          <w:lang w:val="en-US" w:eastAsia="zh-CN" w:bidi="zh-TW"/>
        </w:rPr>
        <w:t>400V</w:t>
      </w:r>
      <w:r>
        <w:rPr>
          <w:rFonts w:hint="eastAsia" w:ascii="宋体" w:hAnsi="宋体" w:eastAsia="宋体" w:cs="宋体"/>
          <w:color w:val="000000"/>
          <w:kern w:val="0"/>
          <w:sz w:val="24"/>
          <w:szCs w:val="24"/>
          <w:lang w:val="zh-TW" w:eastAsia="zh-TW" w:bidi="zh-TW"/>
        </w:rPr>
        <w:t>低压进线回路电参量主要有：开关状态、三相电流、三相电压、瞬变、总有功功率、总无功功率、总功率因数、频率和正向有功电能累计值；</w:t>
      </w:r>
      <w:r>
        <w:rPr>
          <w:rFonts w:hint="eastAsia" w:ascii="宋体" w:hAnsi="宋体" w:eastAsia="宋体" w:cs="宋体"/>
          <w:color w:val="000000"/>
          <w:kern w:val="0"/>
          <w:sz w:val="24"/>
          <w:szCs w:val="24"/>
          <w:lang w:val="en-US" w:eastAsia="zh-CN" w:bidi="zh-TW"/>
        </w:rPr>
        <w:t>400V</w:t>
      </w:r>
      <w:r>
        <w:rPr>
          <w:rFonts w:hint="eastAsia" w:ascii="宋体" w:hAnsi="宋体" w:eastAsia="宋体" w:cs="宋体"/>
          <w:color w:val="000000"/>
          <w:kern w:val="0"/>
          <w:sz w:val="24"/>
          <w:szCs w:val="24"/>
          <w:lang w:val="zh-TW" w:eastAsia="zh-TW" w:bidi="zh-TW"/>
        </w:rPr>
        <w:t>低压出线回路主要有：开关状态、断路器故障脱扣告警、三相（单相）电流、三相功率。</w:t>
      </w:r>
    </w:p>
    <w:p w14:paraId="4D67ED2C">
      <w:pPr>
        <w:widowControl w:val="0"/>
        <w:numPr>
          <w:ilvl w:val="0"/>
          <w:numId w:val="6"/>
        </w:numPr>
        <w:spacing w:line="360" w:lineRule="auto"/>
        <w:ind w:left="0" w:firstLine="42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自诊断与告警</w:t>
      </w:r>
    </w:p>
    <w:p w14:paraId="007AD83A">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在电力态势显示组态图上实现自诊断显示与告警，包括开关状态诊断、负载电流诊断、异常跳闸告警等。当断路器状态错误、异常跳闸时，组态图上相应断路器闪烁；变压器、断路器等颜色深浅随负载大小变化等。</w:t>
      </w:r>
    </w:p>
    <w:p w14:paraId="4544807A">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当出现电压跌落、闪断、欠压、超压等异常时，弹窗显示相对应故障信息并发出告警音，待值班员处理。</w:t>
      </w:r>
    </w:p>
    <w:p w14:paraId="34EB5AFB">
      <w:pPr>
        <w:widowControl w:val="0"/>
        <w:numPr>
          <w:ilvl w:val="0"/>
          <w:numId w:val="6"/>
        </w:numPr>
        <w:spacing w:line="360" w:lineRule="auto"/>
        <w:ind w:left="0" w:firstLine="42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电参量查询</w:t>
      </w:r>
    </w:p>
    <w:p w14:paraId="3E40B6E8">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在电力态势显示组态图上，用鼠标点击欲查询的变压器对象，弹窗显示该变压器额定容量、当前电压、电流、频率、有功功率、无功功率、视在功率、变压器负载率、变压器温度、最大峰值负荷（有功、无功、日期、时间）等；用鼠标点击欲查询的断路器对象，弹窗显示该断路器回路框架电流、整定电流（长延时、短延时、瞬时）、当前电压、当前电流、连续（长于</w:t>
      </w:r>
      <w:r>
        <w:rPr>
          <w:rFonts w:hint="eastAsia" w:ascii="宋体" w:hAnsi="宋体" w:eastAsia="宋体" w:cs="宋体"/>
          <w:color w:val="000000"/>
          <w:kern w:val="0"/>
          <w:sz w:val="24"/>
          <w:szCs w:val="24"/>
          <w:lang w:val="en-US" w:eastAsia="zh-CN" w:bidi="en-US"/>
        </w:rPr>
        <w:t>60s）</w:t>
      </w:r>
      <w:r>
        <w:rPr>
          <w:rFonts w:hint="eastAsia" w:ascii="宋体" w:hAnsi="宋体" w:eastAsia="宋体" w:cs="宋体"/>
          <w:color w:val="000000"/>
          <w:kern w:val="0"/>
          <w:sz w:val="24"/>
          <w:szCs w:val="24"/>
          <w:lang w:val="zh-TW" w:eastAsia="zh-TW" w:bidi="zh-TW"/>
        </w:rPr>
        <w:t>最大峰值电流（电流有效值、日期、时间、时长）、瞬时（短于</w:t>
      </w:r>
      <w:r>
        <w:rPr>
          <w:rFonts w:hint="eastAsia" w:ascii="宋体" w:hAnsi="宋体" w:eastAsia="宋体" w:cs="宋体"/>
          <w:color w:val="000000"/>
          <w:kern w:val="0"/>
          <w:sz w:val="24"/>
          <w:szCs w:val="24"/>
          <w:lang w:val="en-US" w:eastAsia="zh-CN" w:bidi="en-US"/>
        </w:rPr>
        <w:t>5s）</w:t>
      </w:r>
      <w:r>
        <w:rPr>
          <w:rFonts w:hint="eastAsia" w:ascii="宋体" w:hAnsi="宋体" w:eastAsia="宋体" w:cs="宋体"/>
          <w:color w:val="000000"/>
          <w:kern w:val="0"/>
          <w:sz w:val="24"/>
          <w:szCs w:val="24"/>
          <w:lang w:val="zh-TW" w:eastAsia="zh-TW" w:bidi="zh-TW"/>
        </w:rPr>
        <w:t>最大峰值电流（电流有效值、日期、时间、时长）等；用鼠标点击欲查询的电能质量仪表对象，弹窗显示相应电能质量参数。</w:t>
      </w:r>
    </w:p>
    <w:p w14:paraId="2D17F261">
      <w:pPr>
        <w:widowControl w:val="0"/>
        <w:numPr>
          <w:ilvl w:val="0"/>
          <w:numId w:val="6"/>
        </w:numPr>
        <w:spacing w:line="360" w:lineRule="auto"/>
        <w:ind w:left="0" w:firstLine="42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历史数据查询</w:t>
      </w:r>
    </w:p>
    <w:p w14:paraId="11760908">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在电力态势显示组态图上，用鼠标点击欲查询的变压器对象，弹窗，输入查询起始时刻，以二维坐标图显示该变压器有功功率曲线、无功功率曲线、视在功率曲线、变压器负载率曲线、变压器温度曲线等；用鼠标点击欲查询的断路器对象，弹窗，输入查询起始时刻，以二维坐标图显示该断路器回路电流曲线、电压曲线等；用鼠标点击欲查询的电能质量仪表对象，弹窗，输入查询起始时刻和谐波次数，以二维坐标图显示电压曲线、电流曲线、谐波曲线等。</w:t>
      </w:r>
    </w:p>
    <w:p w14:paraId="2CDF5440">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ascii="Calibri" w:hAnsi="Calibri" w:eastAsia="宋体" w:cs="Times New Roman"/>
          <w:color w:val="000000"/>
          <w:spacing w:val="11"/>
          <w:kern w:val="2"/>
          <w:sz w:val="30"/>
          <w:lang w:val="en-US" w:eastAsia="zh-CN" w:bidi="ar-SA"/>
        </w:rPr>
        <w:t>3.2.3.2</w:t>
      </w:r>
      <w:r>
        <w:rPr>
          <w:rFonts w:hint="eastAsia" w:ascii="Calibri" w:hAnsi="Calibri" w:eastAsia="宋体" w:cs="Times New Roman"/>
          <w:color w:val="000000"/>
          <w:spacing w:val="11"/>
          <w:kern w:val="2"/>
          <w:sz w:val="30"/>
          <w:lang w:val="en-US" w:eastAsia="zh-CN" w:bidi="ar-SA"/>
        </w:rPr>
        <w:t>设备管理</w:t>
      </w:r>
    </w:p>
    <w:p w14:paraId="7C55AF1E">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设备管理基于完善的数字装配、数据驱动技术实现的电力系统组态。</w:t>
      </w:r>
    </w:p>
    <w:p w14:paraId="588BA828">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＞设备查询</w:t>
      </w:r>
    </w:p>
    <w:p w14:paraId="61EA5AD6">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设备查询需系统维护员身份操作，在电力态势显示组态图上，用鼠标点击欲査询的设备对象，弹窗显示该设备名称、型号规格、主要参数、品牌厂家、生产日期、说明文档、维护记录等。</w:t>
      </w:r>
    </w:p>
    <w:p w14:paraId="29E0F5FC">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＞设备信息维护</w:t>
      </w:r>
    </w:p>
    <w:p w14:paraId="340A458D">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设备查询需系统维护员身份操作，在电力态势显示组态图上，用鼠标点击欲查询的设备对象，弹窗显示该设备名称、型号规格、主要参数、品牌厂家、生产日期、说明文档、维护记录等，在此窗口对型号规格、主要参数、品牌厂家、生产日期、说明文档、维护记录等进行编辑修改并保存。</w:t>
      </w:r>
    </w:p>
    <w:p w14:paraId="5E47CDE6">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＞参数诊断与优化</w:t>
      </w:r>
    </w:p>
    <w:p w14:paraId="3A9F35C1">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配电系统域运行1年以上（各类工况出现）后，进行参数诊断和优化,由组态数据进行系统负荷计算，查询历史记录最大负荷、最大电流值及连续时间，比对各级断路器额定电流、长延时、短延时、瞬时等整定值，自动分析系统保护的合理性并提供分析报告和推荐整定值。</w:t>
      </w:r>
    </w:p>
    <w:p w14:paraId="59E56E2F">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＞维护计划生成</w:t>
      </w:r>
    </w:p>
    <w:p w14:paraId="4A9CEFFB">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当出现变压器温度持续超高，专家系统自动比对变压器负载率，系统电流、频率、谐波等，生成事件分析报告和检测维护单，检测维护完成后,由值班员在线填写闭环；当出现断路器跳闸时，专家系统自动比对供电回路负荷计算电流、跳闸时电流值、谐波分量、上下级断路器状态等，生成事件（短路、超载、谐波分量超标、频繁启动等）分析报告和检测维护单,检测维护完成后，由值班员在线填写闭环；根据各类设备检修周期，自动计时并在下一检修期前一周生成维护计划单，维护完成后由值班员在线填写闭环。所有分析报告、检测维护单、维护计划单均电子版存档，可根据需要方便查阅、打印。</w:t>
      </w:r>
    </w:p>
    <w:p w14:paraId="4F489A03">
      <w:pPr>
        <w:widowControl w:val="0"/>
        <w:spacing w:line="360" w:lineRule="auto"/>
        <w:ind w:firstLine="56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＞备品备件管理</w:t>
      </w:r>
    </w:p>
    <w:p w14:paraId="34D6ADF0">
      <w:pPr>
        <w:widowControl w:val="0"/>
        <w:spacing w:line="360" w:lineRule="auto"/>
        <w:ind w:firstLine="540"/>
        <w:jc w:val="both"/>
        <w:rPr>
          <w:rFonts w:ascii="宋体" w:hAnsi="宋体" w:eastAsia="PMingLiU" w:cs="宋体"/>
          <w:kern w:val="0"/>
          <w:sz w:val="24"/>
          <w:szCs w:val="24"/>
          <w:lang w:val="zh-TW" w:eastAsia="zh-TW" w:bidi="zh-TW"/>
        </w:rPr>
      </w:pPr>
      <w:r>
        <w:rPr>
          <w:rFonts w:hint="eastAsia" w:ascii="宋体" w:hAnsi="宋体" w:eastAsia="宋体" w:cs="宋体"/>
          <w:color w:val="000000"/>
          <w:kern w:val="0"/>
          <w:sz w:val="24"/>
          <w:szCs w:val="24"/>
          <w:lang w:val="zh-TW" w:eastAsia="zh-TW" w:bidi="zh-TW"/>
        </w:rPr>
        <w:t>根据系统组态数据库，自动生成电气元器件分类数据表，并根据专家库经验自动生成备品备件需求表；该表为带日期自动、复制可维护备品备件库，每次维护生成一张备品备件出入库清单表，包括出入库备品备件、出入库后库存备品备件、出入库经手人等，做到账物相符。</w:t>
      </w:r>
    </w:p>
    <w:p w14:paraId="3AE352A3">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＞实力报表生成</w:t>
      </w:r>
    </w:p>
    <w:p w14:paraId="2CC1D1BA">
      <w:pPr>
        <w:widowControl w:val="0"/>
        <w:spacing w:line="360" w:lineRule="auto"/>
        <w:ind w:firstLine="640"/>
        <w:jc w:val="both"/>
        <w:rPr>
          <w:rFonts w:ascii="宋体" w:hAnsi="宋体" w:eastAsia="宋体" w:cs="宋体"/>
          <w:kern w:val="0"/>
          <w:sz w:val="24"/>
          <w:szCs w:val="24"/>
          <w:lang w:val="zh-TW" w:eastAsia="zh-CN" w:bidi="zh-TW"/>
        </w:rPr>
      </w:pPr>
      <w:r>
        <w:rPr>
          <w:rFonts w:hint="eastAsia" w:ascii="宋体" w:hAnsi="宋体" w:eastAsia="宋体" w:cs="宋体"/>
          <w:color w:val="000000"/>
          <w:kern w:val="0"/>
          <w:sz w:val="24"/>
          <w:szCs w:val="24"/>
          <w:lang w:val="zh-TW" w:eastAsia="zh-TW" w:bidi="zh-TW"/>
        </w:rPr>
        <w:t>根据系统组态数据库，自动生成配电系统设备实力报表，实力报表分配电柜盘级、主要部件级、所有元器件级三级颗粒度，供生成报表时选取。</w:t>
      </w:r>
    </w:p>
    <w:p w14:paraId="59EA988F">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ascii="Calibri" w:hAnsi="Calibri" w:eastAsia="宋体" w:cs="Times New Roman"/>
          <w:color w:val="000000"/>
          <w:spacing w:val="11"/>
          <w:kern w:val="2"/>
          <w:sz w:val="30"/>
          <w:lang w:val="en-US" w:eastAsia="zh-CN" w:bidi="ar-SA"/>
        </w:rPr>
        <w:t>3.2.3.3</w:t>
      </w:r>
      <w:r>
        <w:rPr>
          <w:rFonts w:hint="eastAsia" w:ascii="Calibri" w:hAnsi="Calibri" w:eastAsia="宋体" w:cs="Times New Roman"/>
          <w:color w:val="000000"/>
          <w:spacing w:val="11"/>
          <w:kern w:val="2"/>
          <w:sz w:val="30"/>
          <w:lang w:val="en-US" w:eastAsia="zh-CN" w:bidi="ar-SA"/>
        </w:rPr>
        <w:t>运行报表</w:t>
      </w:r>
    </w:p>
    <w:p w14:paraId="58D72ADD">
      <w:pPr>
        <w:widowControl w:val="0"/>
        <w:spacing w:line="360" w:lineRule="auto"/>
        <w:ind w:firstLine="6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运行报表主要体现一个运行周期供电数据报表、运行状态评估报表、值班人员报表、运维报表等。供电数据报表包括报表时段、运行时长（小时）、总有功电能消耗、总无功电能消耗、平均功率因数、最大总有功负荷值及出现时段、最大总无功负荷值及出现时段、最大电流回路最大电流值及时段、第二大电流回路最大电流值及时段、第三大电流回路最大电流值及时段、最大三次谐波出现时间及谐波值、最大五次谐波出现时间及谐波值等；运行状态评估报表包括报表时段、运行时长（小时）、各变压器最大负载率出现时间及最大有功功率和无功率、母联断路器</w:t>
      </w:r>
      <w:r>
        <w:rPr>
          <w:rFonts w:hint="eastAsia" w:ascii="宋体" w:hAnsi="宋体" w:eastAsia="宋体" w:cs="宋体"/>
          <w:color w:val="000000"/>
          <w:kern w:val="0"/>
          <w:sz w:val="24"/>
          <w:szCs w:val="24"/>
          <w:lang w:val="en-US" w:eastAsia="zh-CN" w:bidi="en-US"/>
        </w:rPr>
        <w:t>A</w:t>
      </w:r>
      <w:r>
        <w:rPr>
          <w:rFonts w:hint="eastAsia" w:ascii="宋体" w:hAnsi="宋体" w:eastAsia="宋体" w:cs="宋体"/>
          <w:color w:val="000000"/>
          <w:kern w:val="0"/>
          <w:sz w:val="24"/>
          <w:szCs w:val="24"/>
          <w:lang w:val="zh-TW" w:eastAsia="zh-TW" w:bidi="zh-TW"/>
        </w:rPr>
        <w:t>方向最大电流值及出现时间、母联断路器</w:t>
      </w:r>
      <w:r>
        <w:rPr>
          <w:rFonts w:hint="eastAsia" w:ascii="宋体" w:hAnsi="宋体" w:eastAsia="宋体" w:cs="宋体"/>
          <w:color w:val="000000"/>
          <w:kern w:val="0"/>
          <w:sz w:val="24"/>
          <w:szCs w:val="24"/>
          <w:lang w:val="en-US" w:eastAsia="zh-CN" w:bidi="en-US"/>
        </w:rPr>
        <w:t>B</w:t>
      </w:r>
      <w:r>
        <w:rPr>
          <w:rFonts w:hint="eastAsia" w:ascii="宋体" w:hAnsi="宋体" w:eastAsia="宋体" w:cs="宋体"/>
          <w:color w:val="000000"/>
          <w:kern w:val="0"/>
          <w:sz w:val="24"/>
          <w:szCs w:val="24"/>
          <w:lang w:val="zh-TW" w:eastAsia="zh-TW" w:bidi="zh-TW"/>
        </w:rPr>
        <w:t>方向最大电流值及出现时间、最大电流回路最大电流与整定电流、是否发生断路器跳闸、是否出现故障停电、是否出现谐波超标、是否出现电压暂降、是否出现供电闪断、供电系统整体评价等；值班人员报表包括报表时段、运行时长（小时）、值班人员名单及对应值班次数和值班总小时数等；运维报表包括报表时段、运行时长（小时），维护保养时间、事项、人员、材料消耗等列表。能够报表打印、报表导出下载。</w:t>
      </w:r>
    </w:p>
    <w:tbl>
      <w:tblPr>
        <w:tblStyle w:val="8"/>
        <w:tblW w:w="0" w:type="auto"/>
        <w:jc w:val="center"/>
        <w:tblLayout w:type="autofit"/>
        <w:tblCellMar>
          <w:top w:w="0" w:type="dxa"/>
          <w:left w:w="10" w:type="dxa"/>
          <w:bottom w:w="0" w:type="dxa"/>
          <w:right w:w="10" w:type="dxa"/>
        </w:tblCellMar>
      </w:tblPr>
      <w:tblGrid>
        <w:gridCol w:w="500"/>
        <w:gridCol w:w="5019"/>
        <w:gridCol w:w="1767"/>
        <w:gridCol w:w="1040"/>
      </w:tblGrid>
      <w:tr w14:paraId="4D4CA0A0">
        <w:tblPrEx>
          <w:tblCellMar>
            <w:top w:w="0" w:type="dxa"/>
            <w:left w:w="10" w:type="dxa"/>
            <w:bottom w:w="0" w:type="dxa"/>
            <w:right w:w="10" w:type="dxa"/>
          </w:tblCellMar>
        </w:tblPrEx>
        <w:trPr>
          <w:trHeight w:val="410" w:hRule="exact"/>
          <w:jc w:val="center"/>
        </w:trPr>
        <w:tc>
          <w:tcPr>
            <w:tcW w:w="0" w:type="auto"/>
            <w:gridSpan w:val="4"/>
            <w:tcBorders>
              <w:top w:val="single" w:color="auto" w:sz="4" w:space="0"/>
              <w:left w:val="single" w:color="auto" w:sz="4" w:space="0"/>
              <w:right w:val="single" w:color="auto" w:sz="4" w:space="0"/>
            </w:tcBorders>
            <w:shd w:val="clear" w:color="auto" w:fill="FFFFFF"/>
          </w:tcPr>
          <w:p w14:paraId="3CBCBE15">
            <w:pPr>
              <w:widowControl w:val="0"/>
              <w:spacing w:line="24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系统报表</w:t>
            </w:r>
          </w:p>
        </w:tc>
      </w:tr>
      <w:tr w14:paraId="47F0AF05">
        <w:tblPrEx>
          <w:tblCellMar>
            <w:top w:w="0" w:type="dxa"/>
            <w:left w:w="10" w:type="dxa"/>
            <w:bottom w:w="0" w:type="dxa"/>
            <w:right w:w="10" w:type="dxa"/>
          </w:tblCellMar>
        </w:tblPrEx>
        <w:trPr>
          <w:trHeight w:val="389" w:hRule="exact"/>
          <w:jc w:val="center"/>
        </w:trPr>
        <w:tc>
          <w:tcPr>
            <w:tcW w:w="0" w:type="auto"/>
            <w:tcBorders>
              <w:top w:val="single" w:color="auto" w:sz="4" w:space="0"/>
              <w:left w:val="single" w:color="auto" w:sz="4" w:space="0"/>
            </w:tcBorders>
            <w:shd w:val="clear" w:color="auto" w:fill="FFFFFF"/>
          </w:tcPr>
          <w:p w14:paraId="65786890">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序号</w:t>
            </w:r>
          </w:p>
        </w:tc>
        <w:tc>
          <w:tcPr>
            <w:tcW w:w="0" w:type="auto"/>
            <w:tcBorders>
              <w:top w:val="single" w:color="auto" w:sz="4" w:space="0"/>
              <w:left w:val="single" w:color="auto" w:sz="4" w:space="0"/>
            </w:tcBorders>
            <w:shd w:val="clear" w:color="auto" w:fill="FFFFFF"/>
          </w:tcPr>
          <w:p w14:paraId="10B40CF0">
            <w:pPr>
              <w:widowControl w:val="0"/>
              <w:spacing w:line="240" w:lineRule="auto"/>
              <w:ind w:left="20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名称</w:t>
            </w:r>
          </w:p>
        </w:tc>
        <w:tc>
          <w:tcPr>
            <w:tcW w:w="0" w:type="auto"/>
            <w:tcBorders>
              <w:top w:val="single" w:color="auto" w:sz="4" w:space="0"/>
              <w:left w:val="single" w:color="auto" w:sz="4" w:space="0"/>
            </w:tcBorders>
            <w:shd w:val="clear" w:color="auto" w:fill="FFFFFF"/>
          </w:tcPr>
          <w:p w14:paraId="6CE6D45C">
            <w:pPr>
              <w:widowControl w:val="0"/>
              <w:spacing w:line="240" w:lineRule="auto"/>
              <w:ind w:left="1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参数</w:t>
            </w:r>
          </w:p>
        </w:tc>
        <w:tc>
          <w:tcPr>
            <w:tcW w:w="0" w:type="auto"/>
            <w:tcBorders>
              <w:top w:val="single" w:color="auto" w:sz="4" w:space="0"/>
              <w:left w:val="single" w:color="auto" w:sz="4" w:space="0"/>
              <w:right w:val="single" w:color="auto" w:sz="4" w:space="0"/>
            </w:tcBorders>
            <w:shd w:val="clear" w:color="auto" w:fill="FFFFFF"/>
          </w:tcPr>
          <w:p w14:paraId="3CE38E07">
            <w:pPr>
              <w:widowControl w:val="0"/>
              <w:spacing w:line="240" w:lineRule="auto"/>
              <w:jc w:val="center"/>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备注</w:t>
            </w:r>
          </w:p>
        </w:tc>
      </w:tr>
      <w:tr w14:paraId="762863A1">
        <w:tblPrEx>
          <w:tblCellMar>
            <w:top w:w="0" w:type="dxa"/>
            <w:left w:w="10" w:type="dxa"/>
            <w:bottom w:w="0" w:type="dxa"/>
            <w:right w:w="10" w:type="dxa"/>
          </w:tblCellMar>
        </w:tblPrEx>
        <w:trPr>
          <w:trHeight w:val="396" w:hRule="exact"/>
          <w:jc w:val="center"/>
        </w:trPr>
        <w:tc>
          <w:tcPr>
            <w:tcW w:w="0" w:type="auto"/>
            <w:tcBorders>
              <w:top w:val="single" w:color="auto" w:sz="4" w:space="0"/>
              <w:left w:val="single" w:color="auto" w:sz="4" w:space="0"/>
            </w:tcBorders>
            <w:shd w:val="clear" w:color="auto" w:fill="FFFFFF"/>
            <w:vAlign w:val="center"/>
          </w:tcPr>
          <w:p w14:paraId="699A678B">
            <w:pPr>
              <w:widowControl w:val="0"/>
              <w:spacing w:line="240" w:lineRule="auto"/>
              <w:ind w:firstLine="30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1</w:t>
            </w:r>
          </w:p>
        </w:tc>
        <w:tc>
          <w:tcPr>
            <w:tcW w:w="0" w:type="auto"/>
            <w:tcBorders>
              <w:top w:val="single" w:color="auto" w:sz="4" w:space="0"/>
              <w:left w:val="single" w:color="auto" w:sz="4" w:space="0"/>
            </w:tcBorders>
            <w:shd w:val="clear" w:color="auto" w:fill="FFFFFF"/>
            <w:vAlign w:val="center"/>
          </w:tcPr>
          <w:p w14:paraId="679F8F2E">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系统故障报警</w:t>
            </w:r>
          </w:p>
        </w:tc>
        <w:tc>
          <w:tcPr>
            <w:tcW w:w="0" w:type="auto"/>
            <w:tcBorders>
              <w:top w:val="single" w:color="auto" w:sz="4" w:space="0"/>
              <w:left w:val="single" w:color="auto" w:sz="4" w:space="0"/>
            </w:tcBorders>
            <w:shd w:val="clear" w:color="auto" w:fill="FFFFFF"/>
            <w:vAlign w:val="center"/>
          </w:tcPr>
          <w:p w14:paraId="65901FB4">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w:t>
            </w:r>
          </w:p>
        </w:tc>
        <w:tc>
          <w:tcPr>
            <w:tcW w:w="0" w:type="auto"/>
            <w:tcBorders>
              <w:top w:val="single" w:color="auto" w:sz="4" w:space="0"/>
              <w:left w:val="single" w:color="auto" w:sz="4" w:space="0"/>
              <w:right w:val="single" w:color="auto" w:sz="4" w:space="0"/>
            </w:tcBorders>
            <w:shd w:val="clear" w:color="auto" w:fill="FFFFFF"/>
          </w:tcPr>
          <w:p w14:paraId="09492182">
            <w:pPr>
              <w:rPr>
                <w:rFonts w:ascii="宋体" w:hAnsi="宋体" w:eastAsia="宋体" w:cs="宋体"/>
              </w:rPr>
            </w:pPr>
          </w:p>
        </w:tc>
      </w:tr>
      <w:tr w14:paraId="1A4FE18B">
        <w:tblPrEx>
          <w:tblCellMar>
            <w:top w:w="0" w:type="dxa"/>
            <w:left w:w="10" w:type="dxa"/>
            <w:bottom w:w="0" w:type="dxa"/>
            <w:right w:w="10" w:type="dxa"/>
          </w:tblCellMar>
        </w:tblPrEx>
        <w:trPr>
          <w:trHeight w:val="389" w:hRule="exact"/>
          <w:jc w:val="center"/>
        </w:trPr>
        <w:tc>
          <w:tcPr>
            <w:tcW w:w="0" w:type="auto"/>
            <w:tcBorders>
              <w:top w:val="single" w:color="auto" w:sz="4" w:space="0"/>
              <w:left w:val="single" w:color="auto" w:sz="4" w:space="0"/>
            </w:tcBorders>
            <w:shd w:val="clear" w:color="auto" w:fill="FFFFFF"/>
            <w:vAlign w:val="bottom"/>
          </w:tcPr>
          <w:p w14:paraId="2309EB6C">
            <w:pPr>
              <w:widowControl w:val="0"/>
              <w:spacing w:line="240" w:lineRule="auto"/>
              <w:ind w:firstLine="30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2</w:t>
            </w:r>
          </w:p>
        </w:tc>
        <w:tc>
          <w:tcPr>
            <w:tcW w:w="0" w:type="auto"/>
            <w:tcBorders>
              <w:top w:val="single" w:color="auto" w:sz="4" w:space="0"/>
              <w:left w:val="single" w:color="auto" w:sz="4" w:space="0"/>
            </w:tcBorders>
            <w:shd w:val="clear" w:color="auto" w:fill="FFFFFF"/>
            <w:vAlign w:val="bottom"/>
          </w:tcPr>
          <w:p w14:paraId="4A577AEC">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操作日志</w:t>
            </w:r>
          </w:p>
        </w:tc>
        <w:tc>
          <w:tcPr>
            <w:tcW w:w="0" w:type="auto"/>
            <w:tcBorders>
              <w:top w:val="single" w:color="auto" w:sz="4" w:space="0"/>
              <w:left w:val="single" w:color="auto" w:sz="4" w:space="0"/>
            </w:tcBorders>
            <w:shd w:val="clear" w:color="auto" w:fill="FFFFFF"/>
            <w:vAlign w:val="bottom"/>
          </w:tcPr>
          <w:p w14:paraId="7954372B">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时间段、站点、人员</w:t>
            </w:r>
          </w:p>
        </w:tc>
        <w:tc>
          <w:tcPr>
            <w:tcW w:w="0" w:type="auto"/>
            <w:tcBorders>
              <w:top w:val="single" w:color="auto" w:sz="4" w:space="0"/>
              <w:left w:val="single" w:color="auto" w:sz="4" w:space="0"/>
              <w:right w:val="single" w:color="auto" w:sz="4" w:space="0"/>
            </w:tcBorders>
            <w:shd w:val="clear" w:color="auto" w:fill="FFFFFF"/>
          </w:tcPr>
          <w:p w14:paraId="07A3DDB5">
            <w:pPr>
              <w:rPr>
                <w:rFonts w:ascii="宋体" w:hAnsi="宋体" w:eastAsia="宋体" w:cs="宋体"/>
              </w:rPr>
            </w:pPr>
          </w:p>
        </w:tc>
      </w:tr>
      <w:tr w14:paraId="57818EEC">
        <w:tblPrEx>
          <w:tblCellMar>
            <w:top w:w="0" w:type="dxa"/>
            <w:left w:w="10" w:type="dxa"/>
            <w:bottom w:w="0" w:type="dxa"/>
            <w:right w:w="10" w:type="dxa"/>
          </w:tblCellMar>
        </w:tblPrEx>
        <w:trPr>
          <w:trHeight w:val="389" w:hRule="exact"/>
          <w:jc w:val="center"/>
        </w:trPr>
        <w:tc>
          <w:tcPr>
            <w:tcW w:w="0" w:type="auto"/>
            <w:tcBorders>
              <w:top w:val="single" w:color="auto" w:sz="4" w:space="0"/>
              <w:left w:val="single" w:color="auto" w:sz="4" w:space="0"/>
            </w:tcBorders>
            <w:shd w:val="clear" w:color="auto" w:fill="FFFFFF"/>
            <w:vAlign w:val="bottom"/>
          </w:tcPr>
          <w:p w14:paraId="6BEDA815">
            <w:pPr>
              <w:widowControl w:val="0"/>
              <w:spacing w:line="240" w:lineRule="auto"/>
              <w:ind w:firstLine="30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3</w:t>
            </w:r>
          </w:p>
        </w:tc>
        <w:tc>
          <w:tcPr>
            <w:tcW w:w="0" w:type="auto"/>
            <w:tcBorders>
              <w:top w:val="single" w:color="auto" w:sz="4" w:space="0"/>
              <w:left w:val="single" w:color="auto" w:sz="4" w:space="0"/>
            </w:tcBorders>
            <w:shd w:val="clear" w:color="auto" w:fill="FFFFFF"/>
            <w:vAlign w:val="bottom"/>
          </w:tcPr>
          <w:p w14:paraId="35F7E6F6">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电压骤升骤降事件分析</w:t>
            </w:r>
          </w:p>
        </w:tc>
        <w:tc>
          <w:tcPr>
            <w:tcW w:w="0" w:type="auto"/>
            <w:tcBorders>
              <w:top w:val="single" w:color="auto" w:sz="4" w:space="0"/>
              <w:left w:val="single" w:color="auto" w:sz="4" w:space="0"/>
            </w:tcBorders>
            <w:shd w:val="clear" w:color="auto" w:fill="FFFFFF"/>
            <w:vAlign w:val="bottom"/>
          </w:tcPr>
          <w:p w14:paraId="6B313DCE">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0" w:type="auto"/>
            <w:tcBorders>
              <w:top w:val="single" w:color="auto" w:sz="4" w:space="0"/>
              <w:left w:val="single" w:color="auto" w:sz="4" w:space="0"/>
              <w:right w:val="single" w:color="auto" w:sz="4" w:space="0"/>
            </w:tcBorders>
            <w:shd w:val="clear" w:color="auto" w:fill="FFFFFF"/>
          </w:tcPr>
          <w:p w14:paraId="345E88C5">
            <w:pPr>
              <w:rPr>
                <w:rFonts w:ascii="宋体" w:hAnsi="宋体" w:eastAsia="宋体" w:cs="宋体"/>
              </w:rPr>
            </w:pPr>
          </w:p>
        </w:tc>
      </w:tr>
      <w:tr w14:paraId="2938B578">
        <w:tblPrEx>
          <w:tblCellMar>
            <w:top w:w="0" w:type="dxa"/>
            <w:left w:w="10" w:type="dxa"/>
            <w:bottom w:w="0" w:type="dxa"/>
            <w:right w:w="10" w:type="dxa"/>
          </w:tblCellMar>
        </w:tblPrEx>
        <w:trPr>
          <w:trHeight w:val="396" w:hRule="exact"/>
          <w:jc w:val="center"/>
        </w:trPr>
        <w:tc>
          <w:tcPr>
            <w:tcW w:w="0" w:type="auto"/>
            <w:tcBorders>
              <w:top w:val="single" w:color="auto" w:sz="4" w:space="0"/>
              <w:left w:val="single" w:color="auto" w:sz="4" w:space="0"/>
            </w:tcBorders>
            <w:shd w:val="clear" w:color="auto" w:fill="FFFFFF"/>
            <w:vAlign w:val="bottom"/>
          </w:tcPr>
          <w:p w14:paraId="5C9D0999">
            <w:pPr>
              <w:widowControl w:val="0"/>
              <w:spacing w:line="240" w:lineRule="auto"/>
              <w:ind w:firstLine="30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4</w:t>
            </w:r>
          </w:p>
        </w:tc>
        <w:tc>
          <w:tcPr>
            <w:tcW w:w="0" w:type="auto"/>
            <w:tcBorders>
              <w:top w:val="single" w:color="auto" w:sz="4" w:space="0"/>
              <w:left w:val="single" w:color="auto" w:sz="4" w:space="0"/>
            </w:tcBorders>
            <w:shd w:val="clear" w:color="auto" w:fill="FFFFFF"/>
            <w:vAlign w:val="bottom"/>
          </w:tcPr>
          <w:p w14:paraId="22043358">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电压瞬时事件分析</w:t>
            </w:r>
          </w:p>
        </w:tc>
        <w:tc>
          <w:tcPr>
            <w:tcW w:w="0" w:type="auto"/>
            <w:tcBorders>
              <w:top w:val="single" w:color="auto" w:sz="4" w:space="0"/>
              <w:left w:val="single" w:color="auto" w:sz="4" w:space="0"/>
            </w:tcBorders>
            <w:shd w:val="clear" w:color="auto" w:fill="FFFFFF"/>
            <w:vAlign w:val="bottom"/>
          </w:tcPr>
          <w:p w14:paraId="377FECE9">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0" w:type="auto"/>
            <w:tcBorders>
              <w:top w:val="single" w:color="auto" w:sz="4" w:space="0"/>
              <w:left w:val="single" w:color="auto" w:sz="4" w:space="0"/>
              <w:right w:val="single" w:color="auto" w:sz="4" w:space="0"/>
            </w:tcBorders>
            <w:shd w:val="clear" w:color="auto" w:fill="FFFFFF"/>
          </w:tcPr>
          <w:p w14:paraId="452E0650">
            <w:pPr>
              <w:rPr>
                <w:rFonts w:ascii="宋体" w:hAnsi="宋体" w:eastAsia="宋体" w:cs="宋体"/>
              </w:rPr>
            </w:pPr>
          </w:p>
        </w:tc>
      </w:tr>
      <w:tr w14:paraId="768285E3">
        <w:tblPrEx>
          <w:tblCellMar>
            <w:top w:w="0" w:type="dxa"/>
            <w:left w:w="10" w:type="dxa"/>
            <w:bottom w:w="0" w:type="dxa"/>
            <w:right w:w="10" w:type="dxa"/>
          </w:tblCellMar>
        </w:tblPrEx>
        <w:trPr>
          <w:trHeight w:val="396" w:hRule="exact"/>
          <w:jc w:val="center"/>
        </w:trPr>
        <w:tc>
          <w:tcPr>
            <w:tcW w:w="0" w:type="auto"/>
            <w:tcBorders>
              <w:top w:val="single" w:color="auto" w:sz="4" w:space="0"/>
              <w:left w:val="single" w:color="auto" w:sz="4" w:space="0"/>
            </w:tcBorders>
            <w:shd w:val="clear" w:color="auto" w:fill="FFFFFF"/>
          </w:tcPr>
          <w:p w14:paraId="6245B76F">
            <w:pPr>
              <w:widowControl w:val="0"/>
              <w:spacing w:line="240" w:lineRule="auto"/>
              <w:ind w:firstLine="30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5</w:t>
            </w:r>
          </w:p>
        </w:tc>
        <w:tc>
          <w:tcPr>
            <w:tcW w:w="0" w:type="auto"/>
            <w:tcBorders>
              <w:top w:val="single" w:color="auto" w:sz="4" w:space="0"/>
              <w:left w:val="single" w:color="auto" w:sz="4" w:space="0"/>
            </w:tcBorders>
            <w:shd w:val="clear" w:color="auto" w:fill="FFFFFF"/>
          </w:tcPr>
          <w:p w14:paraId="23D0D7F5">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电压、电流、功率、频率等原始数据报表</w:t>
            </w:r>
          </w:p>
        </w:tc>
        <w:tc>
          <w:tcPr>
            <w:tcW w:w="0" w:type="auto"/>
            <w:tcBorders>
              <w:top w:val="single" w:color="auto" w:sz="4" w:space="0"/>
              <w:left w:val="single" w:color="auto" w:sz="4" w:space="0"/>
            </w:tcBorders>
            <w:shd w:val="clear" w:color="auto" w:fill="FFFFFF"/>
          </w:tcPr>
          <w:p w14:paraId="73131346">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0" w:type="auto"/>
            <w:tcBorders>
              <w:top w:val="single" w:color="auto" w:sz="4" w:space="0"/>
              <w:left w:val="single" w:color="auto" w:sz="4" w:space="0"/>
              <w:right w:val="single" w:color="auto" w:sz="4" w:space="0"/>
            </w:tcBorders>
            <w:shd w:val="clear" w:color="auto" w:fill="FFFFFF"/>
          </w:tcPr>
          <w:p w14:paraId="36F5DCB2">
            <w:pPr>
              <w:rPr>
                <w:rFonts w:ascii="宋体" w:hAnsi="宋体" w:eastAsia="宋体" w:cs="宋体"/>
              </w:rPr>
            </w:pPr>
          </w:p>
        </w:tc>
      </w:tr>
      <w:tr w14:paraId="15DE9A71">
        <w:tblPrEx>
          <w:tblCellMar>
            <w:top w:w="0" w:type="dxa"/>
            <w:left w:w="10" w:type="dxa"/>
            <w:bottom w:w="0" w:type="dxa"/>
            <w:right w:w="10" w:type="dxa"/>
          </w:tblCellMar>
        </w:tblPrEx>
        <w:trPr>
          <w:trHeight w:val="1099" w:hRule="exact"/>
          <w:jc w:val="center"/>
        </w:trPr>
        <w:tc>
          <w:tcPr>
            <w:tcW w:w="0" w:type="auto"/>
            <w:tcBorders>
              <w:top w:val="single" w:color="auto" w:sz="4" w:space="0"/>
              <w:left w:val="single" w:color="auto" w:sz="4" w:space="0"/>
              <w:bottom w:val="single" w:color="auto" w:sz="4" w:space="0"/>
            </w:tcBorders>
            <w:shd w:val="clear" w:color="auto" w:fill="FFFFFF"/>
          </w:tcPr>
          <w:p w14:paraId="54586FF9">
            <w:pPr>
              <w:widowControl w:val="0"/>
              <w:spacing w:line="240" w:lineRule="auto"/>
              <w:ind w:firstLine="30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6</w:t>
            </w:r>
          </w:p>
        </w:tc>
        <w:tc>
          <w:tcPr>
            <w:tcW w:w="0" w:type="auto"/>
            <w:tcBorders>
              <w:top w:val="single" w:color="auto" w:sz="4" w:space="0"/>
              <w:left w:val="single" w:color="auto" w:sz="4" w:space="0"/>
              <w:bottom w:val="single" w:color="auto" w:sz="4" w:space="0"/>
            </w:tcBorders>
            <w:shd w:val="clear" w:color="auto" w:fill="FFFFFF"/>
          </w:tcPr>
          <w:p w14:paraId="4F3A5E06">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电压、电流、功率、频率等最大值、最小值、平均值、95%概率值、允许值、合格率报表</w:t>
            </w:r>
          </w:p>
        </w:tc>
        <w:tc>
          <w:tcPr>
            <w:tcW w:w="0" w:type="auto"/>
            <w:tcBorders>
              <w:top w:val="single" w:color="auto" w:sz="4" w:space="0"/>
              <w:left w:val="single" w:color="auto" w:sz="4" w:space="0"/>
              <w:bottom w:val="single" w:color="auto" w:sz="4" w:space="0"/>
            </w:tcBorders>
            <w:shd w:val="clear" w:color="auto" w:fill="FFFFFF"/>
          </w:tcPr>
          <w:p w14:paraId="5EE90D70">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0" w:type="auto"/>
            <w:tcBorders>
              <w:top w:val="single" w:color="auto" w:sz="4" w:space="0"/>
              <w:left w:val="single" w:color="auto" w:sz="4" w:space="0"/>
              <w:bottom w:val="single" w:color="auto" w:sz="4" w:space="0"/>
              <w:right w:val="single" w:color="auto" w:sz="4" w:space="0"/>
            </w:tcBorders>
            <w:shd w:val="clear" w:color="auto" w:fill="FFFFFF"/>
          </w:tcPr>
          <w:p w14:paraId="21E0EDFD">
            <w:pPr>
              <w:rPr>
                <w:rFonts w:ascii="宋体" w:hAnsi="宋体" w:eastAsia="宋体" w:cs="宋体"/>
              </w:rPr>
            </w:pPr>
          </w:p>
        </w:tc>
      </w:tr>
      <w:tr w14:paraId="6EEC705E">
        <w:tblPrEx>
          <w:tblCellMar>
            <w:top w:w="0" w:type="dxa"/>
            <w:left w:w="10" w:type="dxa"/>
            <w:bottom w:w="0" w:type="dxa"/>
            <w:right w:w="10" w:type="dxa"/>
          </w:tblCellMar>
        </w:tblPrEx>
        <w:trPr>
          <w:trHeight w:val="770" w:hRule="exact"/>
          <w:jc w:val="center"/>
        </w:trPr>
        <w:tc>
          <w:tcPr>
            <w:tcW w:w="0" w:type="auto"/>
            <w:tcBorders>
              <w:top w:val="single" w:color="auto" w:sz="4" w:space="0"/>
              <w:left w:val="single" w:color="auto" w:sz="4" w:space="0"/>
            </w:tcBorders>
            <w:shd w:val="clear" w:color="auto" w:fill="FFFFFF"/>
          </w:tcPr>
          <w:p w14:paraId="608BF459">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7</w:t>
            </w:r>
          </w:p>
        </w:tc>
        <w:tc>
          <w:tcPr>
            <w:tcW w:w="0" w:type="auto"/>
            <w:tcBorders>
              <w:top w:val="single" w:color="auto" w:sz="4" w:space="0"/>
              <w:left w:val="single" w:color="auto" w:sz="4" w:space="0"/>
            </w:tcBorders>
            <w:shd w:val="clear" w:color="auto" w:fill="FFFFFF"/>
          </w:tcPr>
          <w:p w14:paraId="13504D7A">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谐波电压、电流的最大值、最小值、平均值、95%概率值、允许值、合格率报表</w:t>
            </w:r>
          </w:p>
        </w:tc>
        <w:tc>
          <w:tcPr>
            <w:tcW w:w="0" w:type="auto"/>
            <w:tcBorders>
              <w:top w:val="single" w:color="auto" w:sz="4" w:space="0"/>
              <w:left w:val="single" w:color="auto" w:sz="4" w:space="0"/>
            </w:tcBorders>
            <w:shd w:val="clear" w:color="auto" w:fill="FFFFFF"/>
          </w:tcPr>
          <w:p w14:paraId="6CC51A13">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right w:val="single" w:color="auto" w:sz="4" w:space="0"/>
            </w:tcBorders>
            <w:shd w:val="clear" w:color="auto" w:fill="FFFFFF"/>
          </w:tcPr>
          <w:p w14:paraId="6B16303B">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可附带曲线图形</w:t>
            </w:r>
          </w:p>
        </w:tc>
      </w:tr>
      <w:tr w14:paraId="4684AEAB">
        <w:tblPrEx>
          <w:tblCellMar>
            <w:top w:w="0" w:type="dxa"/>
            <w:left w:w="10" w:type="dxa"/>
            <w:bottom w:w="0" w:type="dxa"/>
            <w:right w:w="10" w:type="dxa"/>
          </w:tblCellMar>
        </w:tblPrEx>
        <w:trPr>
          <w:trHeight w:val="778" w:hRule="exact"/>
          <w:jc w:val="center"/>
        </w:trPr>
        <w:tc>
          <w:tcPr>
            <w:tcW w:w="0" w:type="auto"/>
            <w:tcBorders>
              <w:top w:val="single" w:color="auto" w:sz="4" w:space="0"/>
              <w:left w:val="single" w:color="auto" w:sz="4" w:space="0"/>
            </w:tcBorders>
            <w:shd w:val="clear" w:color="auto" w:fill="FFFFFF"/>
          </w:tcPr>
          <w:p w14:paraId="30B63DDB">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8</w:t>
            </w:r>
          </w:p>
        </w:tc>
        <w:tc>
          <w:tcPr>
            <w:tcW w:w="0" w:type="auto"/>
            <w:tcBorders>
              <w:top w:val="single" w:color="auto" w:sz="4" w:space="0"/>
              <w:left w:val="single" w:color="auto" w:sz="4" w:space="0"/>
            </w:tcBorders>
            <w:shd w:val="clear" w:color="auto" w:fill="FFFFFF"/>
            <w:vAlign w:val="bottom"/>
          </w:tcPr>
          <w:p w14:paraId="2E3F48FD">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电压偏差的最大值、最小值、平均值、95%概率值、允许值、合格率报表</w:t>
            </w:r>
          </w:p>
        </w:tc>
        <w:tc>
          <w:tcPr>
            <w:tcW w:w="0" w:type="auto"/>
            <w:tcBorders>
              <w:top w:val="single" w:color="auto" w:sz="4" w:space="0"/>
              <w:left w:val="single" w:color="auto" w:sz="4" w:space="0"/>
            </w:tcBorders>
            <w:shd w:val="clear" w:color="auto" w:fill="FFFFFF"/>
          </w:tcPr>
          <w:p w14:paraId="479E8229">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right w:val="single" w:color="auto" w:sz="4" w:space="0"/>
            </w:tcBorders>
            <w:shd w:val="clear" w:color="auto" w:fill="FFFFFF"/>
          </w:tcPr>
          <w:p w14:paraId="65491A36">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可附带曲线图形</w:t>
            </w:r>
          </w:p>
        </w:tc>
      </w:tr>
      <w:tr w14:paraId="6250B5FE">
        <w:tblPrEx>
          <w:tblCellMar>
            <w:top w:w="0" w:type="dxa"/>
            <w:left w:w="10" w:type="dxa"/>
            <w:bottom w:w="0" w:type="dxa"/>
            <w:right w:w="10" w:type="dxa"/>
          </w:tblCellMar>
        </w:tblPrEx>
        <w:trPr>
          <w:trHeight w:val="866" w:hRule="exact"/>
          <w:jc w:val="center"/>
        </w:trPr>
        <w:tc>
          <w:tcPr>
            <w:tcW w:w="0" w:type="auto"/>
            <w:tcBorders>
              <w:top w:val="single" w:color="auto" w:sz="4" w:space="0"/>
              <w:left w:val="single" w:color="auto" w:sz="4" w:space="0"/>
            </w:tcBorders>
            <w:shd w:val="clear" w:color="auto" w:fill="FFFFFF"/>
          </w:tcPr>
          <w:p w14:paraId="791CE3E4">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9</w:t>
            </w:r>
          </w:p>
        </w:tc>
        <w:tc>
          <w:tcPr>
            <w:tcW w:w="0" w:type="auto"/>
            <w:tcBorders>
              <w:top w:val="single" w:color="auto" w:sz="4" w:space="0"/>
              <w:left w:val="single" w:color="auto" w:sz="4" w:space="0"/>
            </w:tcBorders>
            <w:shd w:val="clear" w:color="auto" w:fill="FFFFFF"/>
          </w:tcPr>
          <w:p w14:paraId="226966BA">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电能质量综合报表</w:t>
            </w:r>
          </w:p>
        </w:tc>
        <w:tc>
          <w:tcPr>
            <w:tcW w:w="0" w:type="auto"/>
            <w:tcBorders>
              <w:top w:val="single" w:color="auto" w:sz="4" w:space="0"/>
              <w:left w:val="single" w:color="auto" w:sz="4" w:space="0"/>
            </w:tcBorders>
            <w:shd w:val="clear" w:color="auto" w:fill="FFFFFF"/>
          </w:tcPr>
          <w:p w14:paraId="46B091F1">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right w:val="single" w:color="auto" w:sz="4" w:space="0"/>
            </w:tcBorders>
            <w:shd w:val="clear" w:color="auto" w:fill="FFFFFF"/>
          </w:tcPr>
          <w:p w14:paraId="77A98D06">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可附带曲线图形</w:t>
            </w:r>
          </w:p>
        </w:tc>
      </w:tr>
      <w:tr w14:paraId="1ACF13F3">
        <w:tblPrEx>
          <w:tblCellMar>
            <w:top w:w="0" w:type="dxa"/>
            <w:left w:w="10" w:type="dxa"/>
            <w:bottom w:w="0" w:type="dxa"/>
            <w:right w:w="10" w:type="dxa"/>
          </w:tblCellMar>
        </w:tblPrEx>
        <w:trPr>
          <w:trHeight w:val="900" w:hRule="exact"/>
          <w:jc w:val="center"/>
        </w:trPr>
        <w:tc>
          <w:tcPr>
            <w:tcW w:w="0" w:type="auto"/>
            <w:tcBorders>
              <w:top w:val="single" w:color="auto" w:sz="4" w:space="0"/>
              <w:left w:val="single" w:color="auto" w:sz="4" w:space="0"/>
            </w:tcBorders>
            <w:shd w:val="clear" w:color="auto" w:fill="FFFFFF"/>
          </w:tcPr>
          <w:p w14:paraId="7124E933">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10</w:t>
            </w:r>
          </w:p>
        </w:tc>
        <w:tc>
          <w:tcPr>
            <w:tcW w:w="0" w:type="auto"/>
            <w:tcBorders>
              <w:top w:val="single" w:color="auto" w:sz="4" w:space="0"/>
              <w:left w:val="single" w:color="auto" w:sz="4" w:space="0"/>
            </w:tcBorders>
            <w:shd w:val="clear" w:color="auto" w:fill="FFFFFF"/>
          </w:tcPr>
          <w:p w14:paraId="1309B493">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谐波电压、电流总畸变率</w:t>
            </w:r>
          </w:p>
        </w:tc>
        <w:tc>
          <w:tcPr>
            <w:tcW w:w="0" w:type="auto"/>
            <w:tcBorders>
              <w:top w:val="single" w:color="auto" w:sz="4" w:space="0"/>
              <w:left w:val="single" w:color="auto" w:sz="4" w:space="0"/>
            </w:tcBorders>
            <w:shd w:val="clear" w:color="auto" w:fill="FFFFFF"/>
          </w:tcPr>
          <w:p w14:paraId="73903FED">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right w:val="single" w:color="auto" w:sz="4" w:space="0"/>
            </w:tcBorders>
            <w:shd w:val="clear" w:color="auto" w:fill="FFFFFF"/>
          </w:tcPr>
          <w:p w14:paraId="48A407E7">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可附带曲线图形</w:t>
            </w:r>
          </w:p>
        </w:tc>
      </w:tr>
      <w:tr w14:paraId="180A582E">
        <w:tblPrEx>
          <w:tblCellMar>
            <w:top w:w="0" w:type="dxa"/>
            <w:left w:w="10" w:type="dxa"/>
            <w:bottom w:w="0" w:type="dxa"/>
            <w:right w:w="10" w:type="dxa"/>
          </w:tblCellMar>
        </w:tblPrEx>
        <w:trPr>
          <w:trHeight w:val="389" w:hRule="exact"/>
          <w:jc w:val="center"/>
        </w:trPr>
        <w:tc>
          <w:tcPr>
            <w:tcW w:w="0" w:type="auto"/>
            <w:tcBorders>
              <w:top w:val="single" w:color="auto" w:sz="4" w:space="0"/>
              <w:left w:val="single" w:color="auto" w:sz="4" w:space="0"/>
            </w:tcBorders>
            <w:shd w:val="clear" w:color="auto" w:fill="FFFFFF"/>
            <w:vAlign w:val="center"/>
          </w:tcPr>
          <w:p w14:paraId="4B97578D">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11</w:t>
            </w:r>
          </w:p>
        </w:tc>
        <w:tc>
          <w:tcPr>
            <w:tcW w:w="0" w:type="auto"/>
            <w:tcBorders>
              <w:top w:val="single" w:color="auto" w:sz="4" w:space="0"/>
              <w:left w:val="single" w:color="auto" w:sz="4" w:space="0"/>
            </w:tcBorders>
            <w:shd w:val="clear" w:color="auto" w:fill="FFFFFF"/>
            <w:vAlign w:val="center"/>
          </w:tcPr>
          <w:p w14:paraId="58B863FE">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各次谐波电流有效值</w:t>
            </w:r>
          </w:p>
        </w:tc>
        <w:tc>
          <w:tcPr>
            <w:tcW w:w="0" w:type="auto"/>
            <w:tcBorders>
              <w:top w:val="single" w:color="auto" w:sz="4" w:space="0"/>
              <w:left w:val="single" w:color="auto" w:sz="4" w:space="0"/>
            </w:tcBorders>
            <w:shd w:val="clear" w:color="auto" w:fill="FFFFFF"/>
            <w:vAlign w:val="center"/>
          </w:tcPr>
          <w:p w14:paraId="7BE52737">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right w:val="single" w:color="auto" w:sz="4" w:space="0"/>
            </w:tcBorders>
            <w:shd w:val="clear" w:color="auto" w:fill="FFFFFF"/>
          </w:tcPr>
          <w:p w14:paraId="1BE402EC">
            <w:pPr>
              <w:rPr>
                <w:rFonts w:ascii="宋体" w:hAnsi="宋体" w:eastAsia="宋体" w:cs="宋体"/>
              </w:rPr>
            </w:pPr>
          </w:p>
        </w:tc>
      </w:tr>
      <w:tr w14:paraId="52630B38">
        <w:tblPrEx>
          <w:tblCellMar>
            <w:top w:w="0" w:type="dxa"/>
            <w:left w:w="10" w:type="dxa"/>
            <w:bottom w:w="0" w:type="dxa"/>
            <w:right w:w="10" w:type="dxa"/>
          </w:tblCellMar>
        </w:tblPrEx>
        <w:trPr>
          <w:trHeight w:val="389" w:hRule="exact"/>
          <w:jc w:val="center"/>
        </w:trPr>
        <w:tc>
          <w:tcPr>
            <w:tcW w:w="0" w:type="auto"/>
            <w:tcBorders>
              <w:top w:val="single" w:color="auto" w:sz="4" w:space="0"/>
              <w:left w:val="single" w:color="auto" w:sz="4" w:space="0"/>
            </w:tcBorders>
            <w:shd w:val="clear" w:color="auto" w:fill="FFFFFF"/>
          </w:tcPr>
          <w:p w14:paraId="3DAEBC5B">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12</w:t>
            </w:r>
          </w:p>
        </w:tc>
        <w:tc>
          <w:tcPr>
            <w:tcW w:w="0" w:type="auto"/>
            <w:tcBorders>
              <w:top w:val="single" w:color="auto" w:sz="4" w:space="0"/>
              <w:left w:val="single" w:color="auto" w:sz="4" w:space="0"/>
            </w:tcBorders>
            <w:shd w:val="clear" w:color="auto" w:fill="FFFFFF"/>
          </w:tcPr>
          <w:p w14:paraId="7E0325E2">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电压、电流三相不平衡度</w:t>
            </w:r>
          </w:p>
        </w:tc>
        <w:tc>
          <w:tcPr>
            <w:tcW w:w="0" w:type="auto"/>
            <w:tcBorders>
              <w:top w:val="single" w:color="auto" w:sz="4" w:space="0"/>
              <w:left w:val="single" w:color="auto" w:sz="4" w:space="0"/>
            </w:tcBorders>
            <w:shd w:val="clear" w:color="auto" w:fill="FFFFFF"/>
          </w:tcPr>
          <w:p w14:paraId="0B0881C4">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right w:val="single" w:color="auto" w:sz="4" w:space="0"/>
            </w:tcBorders>
            <w:shd w:val="clear" w:color="auto" w:fill="FFFFFF"/>
          </w:tcPr>
          <w:p w14:paraId="0F139695">
            <w:pPr>
              <w:rPr>
                <w:rFonts w:ascii="宋体" w:hAnsi="宋体" w:eastAsia="宋体" w:cs="宋体"/>
              </w:rPr>
            </w:pPr>
          </w:p>
        </w:tc>
      </w:tr>
      <w:tr w14:paraId="29CCCB52">
        <w:tblPrEx>
          <w:tblCellMar>
            <w:top w:w="0" w:type="dxa"/>
            <w:left w:w="10" w:type="dxa"/>
            <w:bottom w:w="0" w:type="dxa"/>
            <w:right w:w="10" w:type="dxa"/>
          </w:tblCellMar>
        </w:tblPrEx>
        <w:trPr>
          <w:trHeight w:val="874" w:hRule="exact"/>
          <w:jc w:val="center"/>
        </w:trPr>
        <w:tc>
          <w:tcPr>
            <w:tcW w:w="0" w:type="auto"/>
            <w:tcBorders>
              <w:top w:val="single" w:color="auto" w:sz="4" w:space="0"/>
              <w:left w:val="single" w:color="auto" w:sz="4" w:space="0"/>
            </w:tcBorders>
            <w:shd w:val="clear" w:color="auto" w:fill="FFFFFF"/>
          </w:tcPr>
          <w:p w14:paraId="0F04A171">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13</w:t>
            </w:r>
          </w:p>
        </w:tc>
        <w:tc>
          <w:tcPr>
            <w:tcW w:w="0" w:type="auto"/>
            <w:tcBorders>
              <w:top w:val="single" w:color="auto" w:sz="4" w:space="0"/>
              <w:left w:val="single" w:color="auto" w:sz="4" w:space="0"/>
            </w:tcBorders>
            <w:shd w:val="clear" w:color="auto" w:fill="FFFFFF"/>
          </w:tcPr>
          <w:p w14:paraId="0CB4CBC2">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电流各序分量</w:t>
            </w:r>
          </w:p>
        </w:tc>
        <w:tc>
          <w:tcPr>
            <w:tcW w:w="0" w:type="auto"/>
            <w:tcBorders>
              <w:top w:val="single" w:color="auto" w:sz="4" w:space="0"/>
              <w:left w:val="single" w:color="auto" w:sz="4" w:space="0"/>
            </w:tcBorders>
            <w:shd w:val="clear" w:color="auto" w:fill="FFFFFF"/>
          </w:tcPr>
          <w:p w14:paraId="3F8C232F">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right w:val="single" w:color="auto" w:sz="4" w:space="0"/>
            </w:tcBorders>
            <w:shd w:val="clear" w:color="auto" w:fill="FFFFFF"/>
          </w:tcPr>
          <w:p w14:paraId="6596FA6E">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可附带曲线图形</w:t>
            </w:r>
          </w:p>
        </w:tc>
      </w:tr>
      <w:tr w14:paraId="66B8CA23">
        <w:tblPrEx>
          <w:tblCellMar>
            <w:top w:w="0" w:type="dxa"/>
            <w:left w:w="10" w:type="dxa"/>
            <w:bottom w:w="0" w:type="dxa"/>
            <w:right w:w="10" w:type="dxa"/>
          </w:tblCellMar>
        </w:tblPrEx>
        <w:trPr>
          <w:trHeight w:val="403" w:hRule="exact"/>
          <w:jc w:val="center"/>
        </w:trPr>
        <w:tc>
          <w:tcPr>
            <w:tcW w:w="0" w:type="auto"/>
            <w:tcBorders>
              <w:top w:val="single" w:color="auto" w:sz="4" w:space="0"/>
              <w:left w:val="single" w:color="auto" w:sz="4" w:space="0"/>
              <w:bottom w:val="single" w:color="auto" w:sz="4" w:space="0"/>
            </w:tcBorders>
            <w:shd w:val="clear" w:color="auto" w:fill="FFFFFF"/>
          </w:tcPr>
          <w:p w14:paraId="77F47300">
            <w:pPr>
              <w:widowControl w:val="0"/>
              <w:spacing w:line="240" w:lineRule="auto"/>
              <w:ind w:firstLine="2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14</w:t>
            </w:r>
          </w:p>
        </w:tc>
        <w:tc>
          <w:tcPr>
            <w:tcW w:w="0" w:type="auto"/>
            <w:tcBorders>
              <w:top w:val="single" w:color="auto" w:sz="4" w:space="0"/>
              <w:left w:val="single" w:color="auto" w:sz="4" w:space="0"/>
              <w:bottom w:val="single" w:color="auto" w:sz="4" w:space="0"/>
            </w:tcBorders>
            <w:shd w:val="clear" w:color="auto" w:fill="FFFFFF"/>
          </w:tcPr>
          <w:p w14:paraId="0AB721BC">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电压长时闪变、短时闪变</w:t>
            </w:r>
          </w:p>
        </w:tc>
        <w:tc>
          <w:tcPr>
            <w:tcW w:w="0" w:type="auto"/>
            <w:tcBorders>
              <w:top w:val="single" w:color="auto" w:sz="4" w:space="0"/>
              <w:left w:val="single" w:color="auto" w:sz="4" w:space="0"/>
              <w:bottom w:val="single" w:color="auto" w:sz="4" w:space="0"/>
            </w:tcBorders>
            <w:shd w:val="clear" w:color="auto" w:fill="FFFFFF"/>
          </w:tcPr>
          <w:p w14:paraId="5D235920">
            <w:pPr>
              <w:widowControl w:val="0"/>
              <w:spacing w:line="240" w:lineRule="auto"/>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时间段、站点、线路</w:t>
            </w:r>
          </w:p>
        </w:tc>
        <w:tc>
          <w:tcPr>
            <w:tcW w:w="1040" w:type="dxa"/>
            <w:tcBorders>
              <w:top w:val="single" w:color="auto" w:sz="4" w:space="0"/>
              <w:left w:val="single" w:color="auto" w:sz="4" w:space="0"/>
              <w:bottom w:val="single" w:color="auto" w:sz="4" w:space="0"/>
              <w:right w:val="single" w:color="auto" w:sz="4" w:space="0"/>
            </w:tcBorders>
            <w:shd w:val="clear" w:color="auto" w:fill="FFFFFF"/>
          </w:tcPr>
          <w:p w14:paraId="4B74166B">
            <w:pPr>
              <w:rPr>
                <w:rFonts w:ascii="宋体" w:hAnsi="宋体" w:eastAsia="宋体" w:cs="宋体"/>
              </w:rPr>
            </w:pPr>
          </w:p>
        </w:tc>
      </w:tr>
    </w:tbl>
    <w:p w14:paraId="71EBF61C">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3.2.3.4系统性能要求</w:t>
      </w:r>
    </w:p>
    <w:p w14:paraId="0AC23B0C">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系统遵循可靠性、安全性、扩展性等原则，主要技术指标如下：</w:t>
      </w:r>
    </w:p>
    <w:p w14:paraId="1011F4D2">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系统平均无故障工作时间</w:t>
      </w:r>
      <w:r>
        <w:rPr>
          <w:rFonts w:hint="eastAsia" w:ascii="宋体" w:hAnsi="宋体" w:eastAsia="宋体" w:cs="宋体"/>
          <w:color w:val="000000"/>
          <w:kern w:val="0"/>
          <w:sz w:val="24"/>
          <w:szCs w:val="24"/>
          <w:lang w:val="en-US" w:eastAsia="zh-CN" w:bidi="en-US"/>
        </w:rPr>
        <w:t>（MTBF）</w:t>
      </w:r>
      <w:r>
        <w:rPr>
          <w:rFonts w:hint="eastAsia" w:ascii="宋体" w:hAnsi="宋体" w:eastAsia="宋体" w:cs="宋体"/>
          <w:color w:val="000000"/>
          <w:kern w:val="0"/>
          <w:sz w:val="24"/>
          <w:szCs w:val="24"/>
          <w:lang w:val="zh-TW" w:eastAsia="zh-TW" w:bidi="zh-TW"/>
        </w:rPr>
        <w:t>不小于</w:t>
      </w:r>
      <w:r>
        <w:rPr>
          <w:rFonts w:hint="eastAsia" w:ascii="宋体" w:hAnsi="宋体" w:eastAsia="宋体" w:cs="宋体"/>
          <w:color w:val="000000"/>
          <w:kern w:val="0"/>
          <w:sz w:val="24"/>
          <w:szCs w:val="24"/>
          <w:lang w:val="en-US" w:eastAsia="zh-CN" w:bidi="en-US"/>
        </w:rPr>
        <w:t>20000h；</w:t>
      </w:r>
    </w:p>
    <w:p w14:paraId="73CF094E">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输入及输出信号响应时间不大于</w:t>
      </w:r>
      <w:r>
        <w:rPr>
          <w:rFonts w:hint="eastAsia" w:ascii="宋体" w:hAnsi="宋体" w:eastAsia="宋体" w:cs="宋体"/>
          <w:color w:val="000000"/>
          <w:kern w:val="0"/>
          <w:sz w:val="24"/>
          <w:szCs w:val="24"/>
          <w:lang w:val="en-US" w:eastAsia="zh-CN" w:bidi="en-US"/>
        </w:rPr>
        <w:t>2s；</w:t>
      </w:r>
    </w:p>
    <w:p w14:paraId="7187D31E">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事件顺序记录</w:t>
      </w:r>
      <w:r>
        <w:rPr>
          <w:rFonts w:hint="eastAsia" w:ascii="宋体" w:hAnsi="宋体" w:eastAsia="宋体" w:cs="宋体"/>
          <w:color w:val="000000"/>
          <w:kern w:val="0"/>
          <w:sz w:val="24"/>
          <w:szCs w:val="24"/>
          <w:lang w:val="en-US" w:eastAsia="zh-CN" w:bidi="en-US"/>
        </w:rPr>
        <w:t>（SOE）</w:t>
      </w:r>
      <w:r>
        <w:rPr>
          <w:rFonts w:hint="eastAsia" w:ascii="宋体" w:hAnsi="宋体" w:eastAsia="宋体" w:cs="宋体"/>
          <w:color w:val="000000"/>
          <w:kern w:val="0"/>
          <w:sz w:val="24"/>
          <w:szCs w:val="24"/>
          <w:lang w:val="zh-TW" w:eastAsia="zh-TW" w:bidi="zh-TW"/>
        </w:rPr>
        <w:t>分辨率不大于</w:t>
      </w:r>
      <w:r>
        <w:rPr>
          <w:rFonts w:hint="eastAsia" w:ascii="宋体" w:hAnsi="宋体" w:eastAsia="宋体" w:cs="宋体"/>
          <w:color w:val="000000"/>
          <w:kern w:val="0"/>
          <w:sz w:val="24"/>
          <w:szCs w:val="24"/>
          <w:lang w:val="en-US" w:eastAsia="zh-CN" w:bidi="en-US"/>
        </w:rPr>
        <w:t>2ms；</w:t>
      </w:r>
    </w:p>
    <w:p w14:paraId="0C4B661B">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动态画面响应时间不大于</w:t>
      </w:r>
      <w:r>
        <w:rPr>
          <w:rFonts w:hint="eastAsia" w:ascii="宋体" w:hAnsi="宋体" w:eastAsia="宋体" w:cs="宋体"/>
          <w:color w:val="000000"/>
          <w:kern w:val="0"/>
          <w:sz w:val="24"/>
          <w:szCs w:val="24"/>
          <w:lang w:val="en-US" w:eastAsia="zh-CN" w:bidi="en-US"/>
        </w:rPr>
        <w:t>2s；</w:t>
      </w:r>
    </w:p>
    <w:p w14:paraId="3E55564E">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模拟量数据更新周期不大于</w:t>
      </w:r>
      <w:r>
        <w:rPr>
          <w:rFonts w:hint="eastAsia" w:ascii="宋体" w:hAnsi="宋体" w:eastAsia="宋体" w:cs="宋体"/>
          <w:color w:val="000000"/>
          <w:kern w:val="0"/>
          <w:sz w:val="24"/>
          <w:szCs w:val="24"/>
          <w:lang w:val="en-US" w:eastAsia="zh-CN" w:bidi="en-US"/>
        </w:rPr>
        <w:t>2s；</w:t>
      </w:r>
      <w:r>
        <w:rPr>
          <w:rFonts w:hint="eastAsia" w:ascii="宋体" w:hAnsi="宋体" w:eastAsia="宋体" w:cs="宋体"/>
          <w:color w:val="000000"/>
          <w:kern w:val="0"/>
          <w:sz w:val="24"/>
          <w:szCs w:val="24"/>
          <w:lang w:val="zh-TW" w:eastAsia="zh-TW" w:bidi="zh-TW"/>
        </w:rPr>
        <w:t>数字量数据更新周期不大于</w:t>
      </w:r>
      <w:r>
        <w:rPr>
          <w:rFonts w:hint="eastAsia" w:ascii="宋体" w:hAnsi="宋体" w:eastAsia="宋体" w:cs="宋体"/>
          <w:color w:val="000000"/>
          <w:kern w:val="0"/>
          <w:sz w:val="24"/>
          <w:szCs w:val="24"/>
          <w:lang w:val="en-US" w:eastAsia="zh-CN" w:bidi="en-US"/>
        </w:rPr>
        <w:t>Is；</w:t>
      </w:r>
    </w:p>
    <w:p w14:paraId="4B1A9F40">
      <w:pPr>
        <w:widowControl w:val="0"/>
        <w:spacing w:line="360" w:lineRule="auto"/>
        <w:ind w:firstLine="6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电压偏差、频率偏差、三相不平衡度、谐波监测的一个基本记录周期为</w:t>
      </w:r>
      <w:r>
        <w:rPr>
          <w:rFonts w:hint="eastAsia" w:ascii="宋体" w:hAnsi="宋体" w:eastAsia="宋体" w:cs="宋体"/>
          <w:color w:val="000000"/>
          <w:kern w:val="0"/>
          <w:sz w:val="24"/>
          <w:szCs w:val="24"/>
          <w:lang w:val="en-US" w:eastAsia="zh-CN" w:bidi="en-US"/>
        </w:rPr>
        <w:t>3s,</w:t>
      </w:r>
      <w:r>
        <w:rPr>
          <w:rFonts w:hint="eastAsia" w:ascii="宋体" w:hAnsi="宋体" w:eastAsia="宋体" w:cs="宋体"/>
          <w:color w:val="000000"/>
          <w:kern w:val="0"/>
          <w:sz w:val="24"/>
          <w:szCs w:val="24"/>
          <w:lang w:val="zh-TW" w:eastAsia="zh-TW" w:bidi="zh-TW"/>
        </w:rPr>
        <w:t>其时间标签为该</w:t>
      </w:r>
      <w:r>
        <w:rPr>
          <w:rFonts w:hint="eastAsia" w:ascii="宋体" w:hAnsi="宋体" w:eastAsia="宋体" w:cs="宋体"/>
          <w:color w:val="000000"/>
          <w:kern w:val="0"/>
          <w:sz w:val="24"/>
          <w:szCs w:val="24"/>
          <w:lang w:val="en-US" w:eastAsia="zh-CN" w:bidi="en-US"/>
        </w:rPr>
        <w:t>3s</w:t>
      </w:r>
      <w:r>
        <w:rPr>
          <w:rFonts w:hint="eastAsia" w:ascii="宋体" w:hAnsi="宋体" w:eastAsia="宋体" w:cs="宋体"/>
          <w:color w:val="000000"/>
          <w:kern w:val="0"/>
          <w:sz w:val="24"/>
          <w:szCs w:val="24"/>
          <w:lang w:val="zh-TW" w:eastAsia="zh-TW" w:bidi="zh-TW"/>
        </w:rPr>
        <w:t>结束的时刻；</w:t>
      </w:r>
    </w:p>
    <w:p w14:paraId="30FB9CA0">
      <w:pPr>
        <w:widowControl w:val="0"/>
        <w:spacing w:line="360" w:lineRule="auto"/>
        <w:ind w:firstLine="6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固定式当地监测设备记录保存的时间间隔为</w:t>
      </w:r>
      <w:r>
        <w:rPr>
          <w:rFonts w:hint="eastAsia" w:ascii="宋体" w:hAnsi="宋体" w:eastAsia="宋体" w:cs="宋体"/>
          <w:color w:val="000000"/>
          <w:kern w:val="0"/>
          <w:sz w:val="24"/>
          <w:szCs w:val="24"/>
          <w:lang w:val="en-US" w:eastAsia="zh-CN" w:bidi="en-US"/>
        </w:rPr>
        <w:t>3min,</w:t>
      </w:r>
      <w:r>
        <w:rPr>
          <w:rFonts w:hint="eastAsia" w:ascii="宋体" w:hAnsi="宋体" w:eastAsia="宋体" w:cs="宋体"/>
          <w:color w:val="000000"/>
          <w:kern w:val="0"/>
          <w:sz w:val="24"/>
          <w:szCs w:val="24"/>
          <w:lang w:val="zh-TW" w:eastAsia="zh-TW" w:bidi="zh-TW"/>
        </w:rPr>
        <w:t>取该时间段的最大值连同该时间段结束的时刻构成一条完整的存储记录；具有实时数据上传功能的固定式监测设备在实时监测状态下记录上传时间间隔为</w:t>
      </w:r>
      <w:r>
        <w:rPr>
          <w:rFonts w:hint="eastAsia" w:ascii="宋体" w:hAnsi="宋体" w:eastAsia="宋体" w:cs="宋体"/>
          <w:color w:val="000000"/>
          <w:kern w:val="0"/>
          <w:sz w:val="24"/>
          <w:szCs w:val="24"/>
          <w:lang w:val="en-US" w:eastAsia="zh-CN" w:bidi="en-US"/>
        </w:rPr>
        <w:t>3s；</w:t>
      </w:r>
    </w:p>
    <w:p w14:paraId="72E26771">
      <w:pPr>
        <w:widowControl w:val="0"/>
        <w:spacing w:line="360" w:lineRule="auto"/>
        <w:ind w:firstLine="62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短时闪变的一个记录周期为</w:t>
      </w:r>
      <w:r>
        <w:rPr>
          <w:rFonts w:hint="eastAsia" w:ascii="宋体" w:hAnsi="宋体" w:eastAsia="宋体" w:cs="宋体"/>
          <w:color w:val="000000"/>
          <w:kern w:val="0"/>
          <w:sz w:val="24"/>
          <w:szCs w:val="24"/>
          <w:lang w:val="en-US" w:eastAsia="zh-CN" w:bidi="en-US"/>
        </w:rPr>
        <w:t>lOmin,</w:t>
      </w:r>
      <w:r>
        <w:rPr>
          <w:rFonts w:hint="eastAsia" w:ascii="宋体" w:hAnsi="宋体" w:eastAsia="宋体" w:cs="宋体"/>
          <w:color w:val="000000"/>
          <w:kern w:val="0"/>
          <w:sz w:val="24"/>
          <w:szCs w:val="24"/>
          <w:lang w:val="zh-TW" w:eastAsia="zh-TW" w:bidi="zh-TW"/>
        </w:rPr>
        <w:t>长时闪变为</w:t>
      </w:r>
      <w:r>
        <w:rPr>
          <w:rFonts w:hint="eastAsia" w:ascii="宋体" w:hAnsi="宋体" w:eastAsia="宋体" w:cs="宋体"/>
          <w:color w:val="000000"/>
          <w:kern w:val="0"/>
          <w:sz w:val="24"/>
          <w:szCs w:val="24"/>
          <w:lang w:val="en-US" w:eastAsia="zh-CN" w:bidi="en-US"/>
        </w:rPr>
        <w:t>2h。</w:t>
      </w:r>
    </w:p>
    <w:p w14:paraId="00330321">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3.2.3.5定时抄表</w:t>
      </w:r>
    </w:p>
    <w:p w14:paraId="6A24B376">
      <w:pPr>
        <w:widowControl w:val="0"/>
        <w:spacing w:line="360" w:lineRule="auto"/>
        <w:ind w:firstLine="6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系统提供可由管理员定制的定时抄表表格工具，定制项包括变电站名称、表格数据项（组态数据项选取）、每日抄表起始时刻、抄表时间间隔、表格分页方式（直连打印机按时连打、每次1页以时间命名的</w:t>
      </w:r>
      <w:r>
        <w:rPr>
          <w:rFonts w:hint="eastAsia" w:ascii="宋体" w:hAnsi="宋体" w:eastAsia="宋体" w:cs="宋体"/>
          <w:color w:val="000000"/>
          <w:kern w:val="0"/>
          <w:sz w:val="24"/>
          <w:szCs w:val="24"/>
          <w:lang w:val="en-US" w:eastAsia="zh-CN" w:bidi="en-US"/>
        </w:rPr>
        <w:t>PDF</w:t>
      </w:r>
      <w:r>
        <w:rPr>
          <w:rFonts w:hint="eastAsia" w:ascii="宋体" w:hAnsi="宋体" w:eastAsia="宋体" w:cs="宋体"/>
          <w:color w:val="000000"/>
          <w:kern w:val="0"/>
          <w:sz w:val="24"/>
          <w:szCs w:val="24"/>
          <w:lang w:val="zh-TW" w:eastAsia="zh-TW" w:bidi="zh-TW"/>
        </w:rPr>
        <w:t>页）等。定时抄表由系统自动执行，直连打印机按时连打采用带孔连续打印纸,表格行末设签字格供值班员手写签字；</w:t>
      </w:r>
      <w:r>
        <w:rPr>
          <w:rFonts w:hint="eastAsia" w:ascii="宋体" w:hAnsi="宋体" w:eastAsia="宋体" w:cs="宋体"/>
          <w:color w:val="000000"/>
          <w:kern w:val="0"/>
          <w:sz w:val="24"/>
          <w:szCs w:val="24"/>
          <w:lang w:val="en-US" w:eastAsia="zh-CN" w:bidi="en-US"/>
        </w:rPr>
        <w:t>PDF</w:t>
      </w:r>
      <w:r>
        <w:rPr>
          <w:rFonts w:hint="eastAsia" w:ascii="宋体" w:hAnsi="宋体" w:eastAsia="宋体" w:cs="宋体"/>
          <w:color w:val="000000"/>
          <w:kern w:val="0"/>
          <w:sz w:val="24"/>
          <w:szCs w:val="24"/>
          <w:lang w:val="zh-TW" w:eastAsia="zh-TW" w:bidi="zh-TW"/>
        </w:rPr>
        <w:t>页设电子签字栏1页一签，电子存档，需要时可查询打印；缺省为每次1页</w:t>
      </w:r>
      <w:r>
        <w:rPr>
          <w:rFonts w:hint="eastAsia" w:ascii="宋体" w:hAnsi="宋体" w:eastAsia="宋体" w:cs="宋体"/>
          <w:color w:val="000000"/>
          <w:kern w:val="0"/>
          <w:sz w:val="24"/>
          <w:szCs w:val="24"/>
          <w:lang w:val="en-US" w:eastAsia="zh-CN" w:bidi="en-US"/>
        </w:rPr>
        <w:t>PDF</w:t>
      </w:r>
      <w:r>
        <w:rPr>
          <w:rFonts w:hint="eastAsia" w:ascii="宋体" w:hAnsi="宋体" w:eastAsia="宋体" w:cs="宋体"/>
          <w:color w:val="000000"/>
          <w:kern w:val="0"/>
          <w:sz w:val="24"/>
          <w:szCs w:val="24"/>
          <w:lang w:val="zh-TW" w:eastAsia="zh-TW" w:bidi="zh-TW"/>
        </w:rPr>
        <w:t>页抄表模式。</w:t>
      </w:r>
    </w:p>
    <w:p w14:paraId="15906FE8">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3.2.3.6统计分析</w:t>
      </w:r>
    </w:p>
    <w:p w14:paraId="248C605B">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＞谐波分析</w:t>
      </w:r>
    </w:p>
    <w:p w14:paraId="0E646328">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系统提供谐波分析工具，供配电系统维护人员通过分析用电负荷分布、谐波分量分布、变化规律，评估外电源质量、定位内部谐波源、评估非线性负载特性和合规性，为谐波治理提供原始数据支撑。</w:t>
      </w:r>
    </w:p>
    <w:p w14:paraId="0A66625D">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＞故障分析</w:t>
      </w:r>
    </w:p>
    <w:p w14:paraId="5DEB96A5">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系统提供故障分析工具，通过分析发生故障时，自动准确记录的故障前后过程的各种电气数据的变化、电压波形等，判定故障类型和原因。</w:t>
      </w:r>
    </w:p>
    <w:p w14:paraId="484E52A0">
      <w:pPr>
        <w:widowControl w:val="0"/>
        <w:spacing w:line="360" w:lineRule="auto"/>
        <w:ind w:firstLine="54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＞事件查询</w:t>
      </w:r>
    </w:p>
    <w:p w14:paraId="02F0F84E">
      <w:pPr>
        <w:widowControl w:val="0"/>
        <w:spacing w:line="360" w:lineRule="auto"/>
        <w:ind w:firstLine="560"/>
        <w:jc w:val="left"/>
        <w:rPr>
          <w:rFonts w:ascii="宋体" w:hAnsi="宋体" w:eastAsia="宋体" w:cs="宋体"/>
          <w:kern w:val="0"/>
          <w:sz w:val="24"/>
          <w:szCs w:val="24"/>
          <w:lang w:val="zh-TW" w:eastAsia="zh-CN" w:bidi="zh-TW"/>
        </w:rPr>
      </w:pPr>
      <w:r>
        <w:rPr>
          <w:rFonts w:hint="eastAsia" w:ascii="宋体" w:hAnsi="宋体" w:eastAsia="宋体" w:cs="宋体"/>
          <w:color w:val="000000"/>
          <w:kern w:val="0"/>
          <w:sz w:val="24"/>
          <w:szCs w:val="24"/>
          <w:lang w:val="zh-TW" w:eastAsia="zh-TW" w:bidi="zh-TW"/>
        </w:rPr>
        <w:t>系统实时记录断路器分合、保护动作、事故跳闸、闪断等事件，提供事件查询工具，回溯展示事件准确时刻、电压、电流及电压波形等。</w:t>
      </w:r>
    </w:p>
    <w:p w14:paraId="280DD430">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3.2.3.7接口管理</w:t>
      </w:r>
    </w:p>
    <w:p w14:paraId="4679E7E2">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变电站电能质量管理系统的数据接入涉及到各类仪表的通信接口匹配与协议解析、数据词典、</w:t>
      </w:r>
      <w:r>
        <w:rPr>
          <w:rFonts w:hint="eastAsia" w:ascii="宋体" w:hAnsi="宋体" w:eastAsia="宋体" w:cs="宋体"/>
          <w:color w:val="000000"/>
          <w:kern w:val="0"/>
          <w:sz w:val="24"/>
          <w:szCs w:val="24"/>
          <w:lang w:val="en-US" w:eastAsia="zh-CN" w:bidi="en-US"/>
        </w:rPr>
        <w:t>IP</w:t>
      </w:r>
      <w:r>
        <w:rPr>
          <w:rFonts w:hint="eastAsia" w:ascii="宋体" w:hAnsi="宋体" w:eastAsia="宋体" w:cs="宋体"/>
          <w:color w:val="000000"/>
          <w:kern w:val="0"/>
          <w:sz w:val="24"/>
          <w:szCs w:val="24"/>
          <w:lang w:val="zh-TW" w:eastAsia="zh-TW" w:bidi="zh-TW"/>
        </w:rPr>
        <w:t>地址分配等。系统提供接口管理工具，系统建设阶段规划生成仪表、设备接入拓扑图，地址分配表、数据词典等；系统运行中，实时监视各仪表、设备通信状态，并以拓扑图形式展现，当通信异常时及时告警提示。数据词典可直接导入（关联）组态数据库，设备接入拓扑图，地址分配表、数据词典可在后期接入仪表维护时进行编辑修订。</w:t>
      </w:r>
    </w:p>
    <w:p w14:paraId="7AD50347">
      <w:pPr>
        <w:widowControl w:val="0"/>
        <w:numPr>
          <w:ilvl w:val="3"/>
          <w:numId w:val="0"/>
        </w:numPr>
        <w:pBdr>
          <w:top w:val="none" w:color="auto" w:sz="0" w:space="1"/>
          <w:left w:val="none" w:color="auto" w:sz="0" w:space="4"/>
          <w:bottom w:val="none" w:color="943734" w:sz="0" w:space="1"/>
          <w:right w:val="none" w:color="auto" w:sz="0" w:space="4"/>
        </w:pBdr>
        <w:tabs>
          <w:tab w:val="left" w:pos="1092"/>
        </w:tabs>
        <w:spacing w:line="360" w:lineRule="auto"/>
        <w:ind w:left="864" w:hanging="864"/>
        <w:jc w:val="left"/>
        <w:outlineLvl w:val="3"/>
        <w:rPr>
          <w:rFonts w:ascii="Calibri" w:hAnsi="Calibri" w:eastAsia="宋体" w:cs="Times New Roman"/>
          <w:color w:val="000000"/>
          <w:spacing w:val="11"/>
          <w:kern w:val="2"/>
          <w:sz w:val="30"/>
          <w:lang w:val="en-US" w:eastAsia="zh-CN" w:bidi="ar-SA"/>
        </w:rPr>
      </w:pPr>
      <w:r>
        <w:rPr>
          <w:rFonts w:hint="eastAsia" w:ascii="Calibri" w:hAnsi="Calibri" w:eastAsia="宋体" w:cs="Times New Roman"/>
          <w:color w:val="000000"/>
          <w:spacing w:val="11"/>
          <w:kern w:val="2"/>
          <w:sz w:val="30"/>
          <w:lang w:val="en-US" w:eastAsia="zh-CN" w:bidi="ar-SA"/>
        </w:rPr>
        <w:t>3.2.3.8系统管理</w:t>
      </w:r>
    </w:p>
    <w:p w14:paraId="5587A8AA">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＞组织机构管理</w:t>
      </w:r>
    </w:p>
    <w:p w14:paraId="2514960F">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按层级添加单位，包括单位名称、上下隶属关系、单位基本信息、所在地理位置等，能够按照单位类型进行图形标识显示。</w:t>
      </w:r>
    </w:p>
    <w:p w14:paraId="7C58D48E">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对单位信息进行修改，包括单位名称、上下隶属关系、单位基本信息、所在地理位置等，能够对单位图形标识进行修改。</w:t>
      </w:r>
    </w:p>
    <w:p w14:paraId="196A331A">
      <w:pPr>
        <w:widowControl w:val="0"/>
        <w:spacing w:line="360" w:lineRule="auto"/>
        <w:ind w:firstLine="560"/>
        <w:jc w:val="left"/>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删除单位信息，删除前给出确认提示，确认后后台能够对信息进存关联查询，避免部分信息删除导致关联信息错误。</w:t>
      </w:r>
    </w:p>
    <w:p w14:paraId="5B570203">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CN" w:eastAsia="zh-CN" w:bidi="zh-CN"/>
        </w:rPr>
        <w:t>＞</w:t>
      </w:r>
      <w:r>
        <w:rPr>
          <w:rFonts w:hint="eastAsia" w:ascii="宋体" w:hAnsi="宋体" w:eastAsia="宋体" w:cs="宋体"/>
          <w:color w:val="000000"/>
          <w:kern w:val="0"/>
          <w:sz w:val="24"/>
          <w:szCs w:val="24"/>
          <w:lang w:val="zh-TW" w:eastAsia="zh-TW" w:bidi="zh-TW"/>
        </w:rPr>
        <w:t>人员管理</w:t>
      </w:r>
    </w:p>
    <w:p w14:paraId="1DBF01EC">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对变电站岗位人员信息进行查询，以列表方式显示，包括人员姓名、单位、部门、职务、电话、数据权限等。可通过非接触式</w:t>
      </w:r>
      <w:r>
        <w:rPr>
          <w:rFonts w:hint="eastAsia" w:ascii="宋体" w:hAnsi="宋体" w:eastAsia="宋体" w:cs="宋体"/>
          <w:color w:val="000000"/>
          <w:kern w:val="0"/>
          <w:sz w:val="24"/>
          <w:szCs w:val="24"/>
          <w:lang w:val="en-US" w:eastAsia="zh-CN" w:bidi="en-US"/>
        </w:rPr>
        <w:t>IC</w:t>
      </w:r>
      <w:r>
        <w:rPr>
          <w:rFonts w:hint="eastAsia" w:ascii="宋体" w:hAnsi="宋体" w:eastAsia="宋体" w:cs="宋体"/>
          <w:color w:val="000000"/>
          <w:kern w:val="0"/>
          <w:sz w:val="24"/>
          <w:szCs w:val="24"/>
          <w:lang w:val="zh-TW" w:eastAsia="zh-TW" w:bidi="zh-TW"/>
        </w:rPr>
        <w:t>卡读写器制作身份授权卡。</w:t>
      </w:r>
    </w:p>
    <w:p w14:paraId="369A18F2">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按单位添加人员，包括人员姓名、单位、部门、职务、电话等。</w:t>
      </w:r>
    </w:p>
    <w:p w14:paraId="2B433DE7">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对人员信息进行修改，包括姓名、单位、部门、职务、电话等。</w:t>
      </w:r>
    </w:p>
    <w:p w14:paraId="0A181F55">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删除人员信息，删除前给出确认提示，确认后后台能够对人员信息进行关联査询，避免相关人员信息删除导致关联信息错误。</w:t>
      </w:r>
    </w:p>
    <w:p w14:paraId="745FB448">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＞功能项管理</w:t>
      </w:r>
    </w:p>
    <w:p w14:paraId="17F28F29">
      <w:pPr>
        <w:widowControl w:val="0"/>
        <w:spacing w:line="360" w:lineRule="auto"/>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功能项作为系统权限配置的基本对象，需提供增、删、改、查功能。功能项新增，包括功能项名称、标识等属性；</w:t>
      </w:r>
    </w:p>
    <w:p w14:paraId="7B15A1EB">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功能项属性修改；</w:t>
      </w:r>
    </w:p>
    <w:p w14:paraId="6EFB928B">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功能项查询列表；</w:t>
      </w:r>
    </w:p>
    <w:p w14:paraId="696D3229">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功能项删除。</w:t>
      </w:r>
    </w:p>
    <w:p w14:paraId="5112D53B">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＞权限设置</w:t>
      </w:r>
    </w:p>
    <w:p w14:paraId="073CFB10">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系统需提供对角色设置权限和对用户设置权限功能。</w:t>
      </w:r>
    </w:p>
    <w:p w14:paraId="0399FD67">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对角色配置功能项操作权限；</w:t>
      </w:r>
    </w:p>
    <w:p w14:paraId="0CEC16B6">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修改角色功能项权限；</w:t>
      </w:r>
    </w:p>
    <w:p w14:paraId="12E73A92">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对用户配置功能项操作权限；</w:t>
      </w:r>
    </w:p>
    <w:p w14:paraId="08444A7F">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修改用户功能项操作权限。</w:t>
      </w:r>
    </w:p>
    <w:p w14:paraId="58029D8D">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＞日志管理</w:t>
      </w:r>
    </w:p>
    <w:p w14:paraId="1784095C">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日志多条件查询浏览。值班人员信息管理等。</w:t>
      </w:r>
    </w:p>
    <w:p w14:paraId="1E50B582">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＞字典值管理</w:t>
      </w:r>
    </w:p>
    <w:p w14:paraId="6A72D528">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系统提供字典值管理功能，对字典值进行管理。</w:t>
      </w:r>
    </w:p>
    <w:p w14:paraId="383C689E">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字典项增、删、改、查；</w:t>
      </w:r>
    </w:p>
    <w:p w14:paraId="41568471">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字典值维护（新增、修改、删除）。</w:t>
      </w:r>
    </w:p>
    <w:p w14:paraId="2BBC2889">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＞业务参数表管理</w:t>
      </w:r>
    </w:p>
    <w:p w14:paraId="2BB17164">
      <w:pPr>
        <w:widowControl w:val="0"/>
        <w:spacing w:line="360" w:lineRule="auto"/>
        <w:ind w:firstLine="54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系统需提供参数表管理功能，对业务参数值进行管理。</w:t>
      </w:r>
    </w:p>
    <w:p w14:paraId="027CE727">
      <w:pPr>
        <w:widowControl w:val="0"/>
        <w:spacing w:line="360" w:lineRule="auto"/>
        <w:ind w:firstLine="82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参数项增、删、改、查;</w:t>
      </w:r>
    </w:p>
    <w:p w14:paraId="2D5A1093">
      <w:pPr>
        <w:widowControl w:val="0"/>
        <w:spacing w:line="360" w:lineRule="auto"/>
        <w:ind w:firstLine="820"/>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修改参数项参数值。</w:t>
      </w:r>
    </w:p>
    <w:p w14:paraId="6EE58DC5">
      <w:pPr>
        <w:keepNext w:val="0"/>
        <w:keepLines w:val="0"/>
        <w:widowControl w:val="0"/>
        <w:spacing w:before="0" w:after="0" w:line="360" w:lineRule="auto"/>
        <w:ind w:left="432" w:hanging="432"/>
        <w:jc w:val="left"/>
        <w:outlineLvl w:val="0"/>
        <w:rPr>
          <w:rFonts w:ascii="宋体" w:hAnsi="宋体" w:eastAsia="宋体" w:cs="宋体"/>
          <w:b/>
          <w:bCs/>
          <w:kern w:val="44"/>
          <w:sz w:val="24"/>
          <w:szCs w:val="24"/>
          <w:lang w:val="en-US" w:eastAsia="zh-CN" w:bidi="ar-SA"/>
        </w:rPr>
      </w:pPr>
      <w:bookmarkStart w:id="9" w:name="bookmark8"/>
      <w:bookmarkEnd w:id="9"/>
      <w:bookmarkStart w:id="10" w:name="_Toc106719255"/>
      <w:r>
        <w:rPr>
          <w:rFonts w:hint="eastAsia" w:ascii="宋体" w:hAnsi="宋体" w:eastAsia="宋体" w:cs="宋体"/>
          <w:b/>
          <w:bCs/>
          <w:kern w:val="44"/>
          <w:sz w:val="24"/>
          <w:szCs w:val="24"/>
          <w:lang w:val="en-US" w:eastAsia="zh-CN" w:bidi="ar-SA"/>
        </w:rPr>
        <w:t>4建设目标</w:t>
      </w:r>
      <w:bookmarkEnd w:id="10"/>
    </w:p>
    <w:p w14:paraId="05D64922">
      <w:pPr>
        <w:widowControl w:val="0"/>
        <w:spacing w:line="360" w:lineRule="auto"/>
        <w:ind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按照以数据中心为场区电能态势值班监控中心、各变电站相对独立并相互联网、数据共享体系规划设计系统、分步实施建设电能质量管理系统（供电系统全要素运行管理平台）。</w:t>
      </w:r>
    </w:p>
    <w:p w14:paraId="29E5DE30">
      <w:pPr>
        <w:widowControl w:val="0"/>
        <w:spacing w:line="360" w:lineRule="auto"/>
        <w:ind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通过曲线图反映场区用电需量，并记录最大值和发生时间，当需量接近设定值时可以发出报警信号，通知人为干预降低需量。</w:t>
      </w:r>
    </w:p>
    <w:p w14:paraId="6E3226F2">
      <w:pPr>
        <w:widowControl w:val="0"/>
        <w:spacing w:line="360" w:lineRule="auto"/>
        <w:ind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电力监控系统可以对整个配电系统范围内的电能质量和电能可靠性状况进行持续性的监测。例如配电系统维护人员可以通过谐波分析界面掌握配电系统的谐波含量，及时釆取相应的措施提高配电系统的可靠性，减少因谐波造成的供电事故的发生。</w:t>
      </w:r>
    </w:p>
    <w:p w14:paraId="383FEACC">
      <w:pPr>
        <w:widowControl w:val="0"/>
        <w:spacing w:line="360" w:lineRule="auto"/>
        <w:ind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通过监测保护装置、变压器温控仪、多功能仪表等设备，实时不间断模拟配电系统的运行状态，设置越限告警和故障报警信号，使配电系统运行可视化。</w:t>
      </w:r>
    </w:p>
    <w:p w14:paraId="6290256D">
      <w:pPr>
        <w:widowControl w:val="0"/>
        <w:spacing w:line="360" w:lineRule="auto"/>
        <w:ind w:firstLine="567"/>
        <w:jc w:val="both"/>
        <w:rPr>
          <w:rFonts w:ascii="宋体" w:hAnsi="宋体" w:eastAsia="宋体" w:cs="宋体"/>
          <w:kern w:val="0"/>
          <w:sz w:val="24"/>
          <w:szCs w:val="24"/>
          <w:lang w:val="zh-TW" w:eastAsia="zh-TW" w:bidi="zh-TW"/>
        </w:rPr>
      </w:pPr>
      <w:r>
        <w:rPr>
          <w:rFonts w:hint="eastAsia" w:ascii="宋体" w:hAnsi="宋体" w:eastAsia="宋体" w:cs="宋体"/>
          <w:color w:val="000000"/>
          <w:kern w:val="0"/>
          <w:sz w:val="24"/>
          <w:szCs w:val="24"/>
          <w:lang w:val="zh-TW" w:eastAsia="zh-TW" w:bidi="zh-TW"/>
        </w:rPr>
        <w:t>自动记录事故时刻前后一段时间的所有实时稳态信息，包括开关位置、保护动作状态等，形成事故分析的数据基础。</w:t>
      </w:r>
    </w:p>
    <w:p w14:paraId="2ED49CB5">
      <w:pPr>
        <w:widowControl w:val="0"/>
        <w:spacing w:line="360" w:lineRule="auto"/>
        <w:ind w:firstLine="567"/>
        <w:jc w:val="both"/>
        <w:rPr>
          <w:rFonts w:ascii="宋体" w:hAnsi="宋体" w:eastAsia="PMingLiU"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建立配电系统设备、备品备件动态数据库，规范检修维护。</w:t>
      </w:r>
    </w:p>
    <w:p w14:paraId="76FE5E66">
      <w:pPr>
        <w:keepNext w:val="0"/>
        <w:keepLines w:val="0"/>
        <w:widowControl w:val="0"/>
        <w:spacing w:before="0" w:after="0" w:line="360" w:lineRule="auto"/>
        <w:ind w:left="432" w:hanging="432"/>
        <w:jc w:val="left"/>
        <w:outlineLvl w:val="0"/>
        <w:rPr>
          <w:rFonts w:ascii="宋体" w:hAnsi="宋体" w:eastAsia="宋体" w:cs="宋体"/>
          <w:b/>
          <w:bCs/>
          <w:kern w:val="44"/>
          <w:sz w:val="24"/>
          <w:szCs w:val="24"/>
          <w:lang w:val="en-US" w:eastAsia="zh-CN" w:bidi="ar-SA"/>
        </w:rPr>
      </w:pPr>
      <w:bookmarkStart w:id="11" w:name="_Toc31518"/>
      <w:bookmarkStart w:id="12" w:name="_Toc106719256"/>
      <w:bookmarkStart w:id="13" w:name="_Toc58670406"/>
      <w:r>
        <w:rPr>
          <w:rFonts w:hint="eastAsia" w:ascii="宋体" w:hAnsi="宋体" w:eastAsia="宋体" w:cs="宋体"/>
          <w:b/>
          <w:bCs/>
          <w:kern w:val="44"/>
          <w:sz w:val="24"/>
          <w:szCs w:val="24"/>
          <w:lang w:val="en-US" w:eastAsia="zh-CN" w:bidi="ar-SA"/>
        </w:rPr>
        <w:t>5可靠性、维修性、电磁兼容性、保障性、测试性、安全性和环境适应性等要求</w:t>
      </w:r>
      <w:bookmarkEnd w:id="11"/>
      <w:bookmarkEnd w:id="12"/>
      <w:bookmarkEnd w:id="13"/>
      <w:r>
        <w:rPr>
          <w:rFonts w:hint="eastAsia" w:ascii="宋体" w:hAnsi="宋体" w:eastAsia="宋体" w:cs="宋体"/>
          <w:b/>
          <w:bCs/>
          <w:kern w:val="44"/>
          <w:sz w:val="24"/>
          <w:szCs w:val="24"/>
          <w:lang w:val="en-US" w:eastAsia="zh-CN" w:bidi="ar-SA"/>
        </w:rPr>
        <w:t xml:space="preserve"> </w:t>
      </w:r>
    </w:p>
    <w:p w14:paraId="12AA53B9">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环境适应性要求：</w:t>
      </w:r>
    </w:p>
    <w:p w14:paraId="739E6EB9">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工作温度： 0～+40摄氏度；</w:t>
      </w:r>
    </w:p>
    <w:p w14:paraId="73DD7065">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存储温度：-40～+65摄氏度；</w:t>
      </w:r>
    </w:p>
    <w:p w14:paraId="5BE5A021">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电磁兼容性要求：</w:t>
      </w:r>
    </w:p>
    <w:p w14:paraId="359CADD5">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电磁兼容性满足《GJB1389A-2005系统电磁兼容性要求》的相关规定与测试要求。设备可在电站环境正常工作。</w:t>
      </w:r>
    </w:p>
    <w:p w14:paraId="2042E8D1">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可靠性及维修性要求：</w:t>
      </w:r>
    </w:p>
    <w:p w14:paraId="26F610A9">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MTBF（平均无故障工作时间）：≥2500小时；</w:t>
      </w:r>
    </w:p>
    <w:p w14:paraId="05AB0228">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MTTR（平均维修时间）：≤0.5小时；</w:t>
      </w:r>
    </w:p>
    <w:p w14:paraId="4D2CB148">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保障性：按照投标方案提供备品备件，符合保障性要求；</w:t>
      </w:r>
    </w:p>
    <w:p w14:paraId="0ECCE938">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维修性：防差错设计与识别标识，采用标准化产品降低维修难度；</w:t>
      </w:r>
    </w:p>
    <w:p w14:paraId="6FA1FD06">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测试性：系统具备软件测试点和硬件测试接口，考虑可测试性的优先级、成本，确保每一个故障在测试中得以快速定位；</w:t>
      </w:r>
    </w:p>
    <w:p w14:paraId="2B16403C">
      <w:pPr>
        <w:widowControl w:val="0"/>
        <w:spacing w:line="360" w:lineRule="auto"/>
        <w:ind w:firstLine="567"/>
        <w:jc w:val="both"/>
        <w:rPr>
          <w:rFonts w:hint="eastAsia" w:ascii="宋体" w:hAnsi="宋体" w:eastAsia="宋体" w:cs="宋体"/>
          <w:color w:val="000000"/>
          <w:kern w:val="0"/>
          <w:sz w:val="24"/>
          <w:szCs w:val="24"/>
          <w:lang w:val="zh-TW" w:eastAsia="zh-TW" w:bidi="zh-TW"/>
        </w:rPr>
      </w:pPr>
      <w:r>
        <w:rPr>
          <w:rFonts w:hint="eastAsia" w:ascii="宋体" w:hAnsi="宋体" w:eastAsia="宋体" w:cs="宋体"/>
          <w:color w:val="000000"/>
          <w:kern w:val="0"/>
          <w:sz w:val="24"/>
          <w:szCs w:val="24"/>
          <w:lang w:val="zh-TW" w:eastAsia="zh-TW" w:bidi="zh-TW"/>
        </w:rPr>
        <w:t>安全性：设备的安全性设计需考虑了结构安全性和电气安全性，同时还注重了原材料、元器件选用的安全性和使用管理的安全性。实施安全性设计方案和设计措施后，可以保证其安全性符合要求。</w:t>
      </w:r>
    </w:p>
    <w:p w14:paraId="39574BC7">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8EFF6"/>
    <w:multiLevelType w:val="singleLevel"/>
    <w:tmpl w:val="C5A8EFF6"/>
    <w:lvl w:ilvl="0" w:tentative="0">
      <w:start w:val="1"/>
      <w:numFmt w:val="chineseCounting"/>
      <w:suff w:val="nothing"/>
      <w:lvlText w:val="%1、"/>
      <w:lvlJc w:val="left"/>
      <w:pPr>
        <w:ind w:left="0" w:firstLine="420"/>
      </w:pPr>
      <w:rPr>
        <w:rFonts w:hint="eastAsia"/>
      </w:rPr>
    </w:lvl>
  </w:abstractNum>
  <w:abstractNum w:abstractNumId="1">
    <w:nsid w:val="CF092B84"/>
    <w:multiLevelType w:val="singleLevel"/>
    <w:tmpl w:val="CF092B84"/>
    <w:lvl w:ilvl="0" w:tentative="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abstractNum>
  <w:abstractNum w:abstractNumId="2">
    <w:nsid w:val="D3A8E28E"/>
    <w:multiLevelType w:val="singleLevel"/>
    <w:tmpl w:val="D3A8E28E"/>
    <w:lvl w:ilvl="0" w:tentative="0">
      <w:start w:val="1"/>
      <w:numFmt w:val="decimal"/>
      <w:lvlText w:val="(%1)"/>
      <w:lvlJc w:val="left"/>
      <w:pPr>
        <w:ind w:left="425" w:hanging="425"/>
      </w:pPr>
      <w:rPr>
        <w:rFonts w:hint="default"/>
      </w:rPr>
    </w:lvl>
  </w:abstractNum>
  <w:abstractNum w:abstractNumId="3">
    <w:nsid w:val="05B8383D"/>
    <w:multiLevelType w:val="singleLevel"/>
    <w:tmpl w:val="05B8383D"/>
    <w:lvl w:ilvl="0" w:tentative="0">
      <w:start w:val="1"/>
      <w:numFmt w:val="decimal"/>
      <w:lvlText w:val="(%1)"/>
      <w:lvlJc w:val="left"/>
      <w:pPr>
        <w:ind w:left="425" w:hanging="425"/>
      </w:pPr>
      <w:rPr>
        <w:rFonts w:hint="default"/>
      </w:rPr>
    </w:lvl>
  </w:abstractNum>
  <w:abstractNum w:abstractNumId="4">
    <w:nsid w:val="35E4911D"/>
    <w:multiLevelType w:val="multilevel"/>
    <w:tmpl w:val="35E4911D"/>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4F3973FA"/>
    <w:multiLevelType w:val="singleLevel"/>
    <w:tmpl w:val="4F3973FA"/>
    <w:lvl w:ilvl="0" w:tentative="0">
      <w:start w:val="1"/>
      <w:numFmt w:val="chineseCounting"/>
      <w:suff w:val="nothing"/>
      <w:lvlText w:val="%1、"/>
      <w:lvlJc w:val="left"/>
      <w:pPr>
        <w:ind w:left="0" w:firstLine="420"/>
      </w:pPr>
      <w:rPr>
        <w:rFonts w:hint="eastAsia"/>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22BF4"/>
    <w:rsid w:val="065E47E7"/>
    <w:rsid w:val="27C22BF4"/>
    <w:rsid w:val="40894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Times New Roman"/>
      <w:kern w:val="2"/>
      <w:sz w:val="32"/>
      <w:lang w:val="en-US" w:eastAsia="zh-CN" w:bidi="ar-SA"/>
    </w:rPr>
  </w:style>
  <w:style w:type="paragraph" w:styleId="3">
    <w:name w:val="heading 1"/>
    <w:basedOn w:val="1"/>
    <w:next w:val="1"/>
    <w:qFormat/>
    <w:uiPriority w:val="99"/>
    <w:pPr>
      <w:keepNext/>
      <w:keepLines/>
      <w:spacing w:before="340" w:after="330" w:line="578" w:lineRule="auto"/>
      <w:outlineLvl w:val="0"/>
    </w:pPr>
    <w:rPr>
      <w:b/>
      <w:bCs/>
      <w:kern w:val="44"/>
      <w:sz w:val="44"/>
      <w:szCs w:val="44"/>
    </w:rPr>
  </w:style>
  <w:style w:type="paragraph" w:styleId="2">
    <w:name w:val="heading 2"/>
    <w:basedOn w:val="1"/>
    <w:next w:val="1"/>
    <w:qFormat/>
    <w:uiPriority w:val="0"/>
    <w:pPr>
      <w:keepNext/>
      <w:keepLines/>
      <w:spacing w:before="260" w:after="260" w:line="413" w:lineRule="auto"/>
      <w:outlineLvl w:val="1"/>
    </w:pPr>
    <w:rPr>
      <w:rFonts w:ascii="Arial" w:hAnsi="Arial" w:eastAsia="黑体"/>
      <w:b/>
    </w:rPr>
  </w:style>
  <w:style w:type="paragraph" w:styleId="4">
    <w:name w:val="heading 3"/>
    <w:basedOn w:val="1"/>
    <w:next w:val="1"/>
    <w:qFormat/>
    <w:uiPriority w:val="0"/>
    <w:pPr>
      <w:keepNext/>
      <w:keepLines/>
      <w:spacing w:before="260" w:after="260" w:line="416" w:lineRule="auto"/>
      <w:outlineLvl w:val="2"/>
    </w:pPr>
    <w:rPr>
      <w:rFonts w:ascii="Times New Roman" w:hAnsi="Times New Roman" w:eastAsia="宋体"/>
      <w:b/>
      <w:bCs/>
      <w:szCs w:val="32"/>
    </w:rPr>
  </w:style>
  <w:style w:type="paragraph" w:styleId="5">
    <w:name w:val="heading 4"/>
    <w:basedOn w:val="1"/>
    <w:next w:val="1"/>
    <w:semiHidden/>
    <w:unhideWhenUsed/>
    <w:qFormat/>
    <w:uiPriority w:val="9"/>
    <w:pPr>
      <w:numPr>
        <w:ilvl w:val="3"/>
        <w:numId w:val="1"/>
      </w:numPr>
      <w:pBdr>
        <w:top w:val="none" w:color="auto" w:sz="0" w:space="1"/>
        <w:left w:val="none" w:color="auto" w:sz="0" w:space="4"/>
        <w:bottom w:val="none" w:color="943734" w:sz="0" w:space="1"/>
        <w:right w:val="none" w:color="auto" w:sz="0" w:space="4"/>
      </w:pBdr>
      <w:spacing w:line="360" w:lineRule="auto"/>
      <w:jc w:val="left"/>
      <w:outlineLvl w:val="3"/>
    </w:pPr>
    <w:rPr>
      <w:rFonts w:eastAsia="宋体"/>
      <w:color w:val="000000" w:themeColor="text1"/>
      <w:spacing w:val="11"/>
      <w:sz w:val="30"/>
      <w14:textFill>
        <w14:solidFill>
          <w14:schemeClr w14:val="tx1"/>
        </w14:solidFill>
      </w14:textFill>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lock Text"/>
    <w:basedOn w:val="1"/>
    <w:unhideWhenUsed/>
    <w:qFormat/>
    <w:uiPriority w:val="0"/>
    <w:pPr>
      <w:spacing w:after="120"/>
      <w:ind w:left="1440" w:leftChars="700" w:right="700" w:rightChars="700"/>
    </w:pPr>
  </w:style>
  <w:style w:type="paragraph" w:styleId="7">
    <w:name w:val="header"/>
    <w:basedOn w:val="1"/>
    <w:qFormat/>
    <w:uiPriority w:val="99"/>
    <w:pPr>
      <w:pBdr>
        <w:bottom w:val="single" w:color="auto" w:sz="6" w:space="1"/>
      </w:pBdr>
      <w:tabs>
        <w:tab w:val="center" w:pos="4153"/>
        <w:tab w:val="right" w:pos="8306"/>
      </w:tabs>
      <w:snapToGrid w:val="0"/>
      <w:jc w:val="center"/>
    </w:pPr>
    <w:rPr>
      <w:rFonts w:eastAsia="宋体"/>
      <w:sz w:val="18"/>
      <w:szCs w:val="18"/>
    </w:rPr>
  </w:style>
  <w:style w:type="paragraph" w:styleId="10">
    <w:name w:val="List Paragraph"/>
    <w:basedOn w:val="1"/>
    <w:qFormat/>
    <w:uiPriority w:val="34"/>
    <w:pPr>
      <w:ind w:firstLine="420" w:firstLineChars="200"/>
    </w:pPr>
  </w:style>
  <w:style w:type="paragraph" w:customStyle="1" w:styleId="11">
    <w:name w:val="Other|1"/>
    <w:basedOn w:val="1"/>
    <w:qFormat/>
    <w:uiPriority w:val="0"/>
    <w:pPr>
      <w:spacing w:line="391" w:lineRule="auto"/>
      <w:jc w:val="left"/>
    </w:pPr>
    <w:rPr>
      <w:rFonts w:ascii="宋体" w:hAnsi="宋体" w:eastAsia="宋体" w:cs="宋体"/>
      <w:kern w:val="0"/>
      <w:sz w:val="26"/>
      <w:szCs w:val="26"/>
      <w:lang w:val="zh-TW" w:eastAsia="zh-TW" w:bidi="zh-TW"/>
    </w:rPr>
  </w:style>
  <w:style w:type="paragraph" w:customStyle="1" w:styleId="12">
    <w:name w:val="Body text|1"/>
    <w:basedOn w:val="1"/>
    <w:qFormat/>
    <w:uiPriority w:val="0"/>
    <w:pPr>
      <w:spacing w:line="391" w:lineRule="auto"/>
      <w:jc w:val="left"/>
    </w:pPr>
    <w:rPr>
      <w:rFonts w:ascii="宋体" w:hAnsi="宋体" w:eastAsia="宋体" w:cs="宋体"/>
      <w:kern w:val="0"/>
      <w:sz w:val="26"/>
      <w:szCs w:val="26"/>
      <w:lang w:val="zh-TW" w:eastAsia="zh-TW" w:bidi="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8350</Words>
  <Characters>8682</Characters>
  <Lines>0</Lines>
  <Paragraphs>0</Paragraphs>
  <TotalTime>3</TotalTime>
  <ScaleCrop>false</ScaleCrop>
  <LinksUpToDate>false</LinksUpToDate>
  <CharactersWithSpaces>8684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2026-05-20T14:09:00Z</dcterms:created>
  <dc:creator>ZzGallagher5</dc:creator>
  <cp:lastModifiedBy>ZzGallagher5</cp:lastModifiedBy>
  <dcterms:modified xsi:type="dcterms:W3CDTF">2026-05-20T14:14:11Z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3ABB548D140648539513BB0A7AE31041_11</vt:lpwstr>
  </property>
  <property fmtid="{D5CDD505-2E9C-101B-9397-08002B2CF9AE}" pid="4" name="KSOTemplateDocerSaveRecord">
    <vt:lpwstr>eyJoZGlkIjoiNmExMDU1M2VlNGQ2ZTA5YmRmZWMwMGU0N2ZjNTQxM2QiLCJ1c2VySWQiOiI2Mzc2OTk4MDMifQ==</vt:lpwstr>
  </property>
</Properties>
</file>