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156D0">
      <w:pPr>
        <w:jc w:val="left"/>
        <w:outlineLvl w:val="2"/>
        <w:rPr>
          <w:rFonts w:hint="eastAsia" w:ascii="Calibri" w:hAnsi="Calibri" w:eastAsia="宋体" w:cs="Times New Roman"/>
          <w:lang w:val="en-US" w:eastAsia="zh-Hans"/>
        </w:rPr>
      </w:pPr>
      <w:r>
        <w:rPr>
          <w:rFonts w:hint="eastAsia" w:ascii="Calibri" w:hAnsi="Calibri" w:eastAsia="宋体" w:cs="Times New Roman"/>
          <w:b/>
          <w:sz w:val="28"/>
          <w:lang w:val="en-US" w:eastAsia="zh-Hans"/>
        </w:rPr>
        <w:t>一、商务要求</w:t>
      </w:r>
    </w:p>
    <w:p w14:paraId="2143E9DC">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采购包1：</w:t>
      </w:r>
    </w:p>
    <w:tbl>
      <w:tblPr>
        <w:tblStyle w:val="4"/>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675"/>
        <w:gridCol w:w="1008"/>
        <w:gridCol w:w="1437"/>
        <w:gridCol w:w="5184"/>
      </w:tblGrid>
      <w:tr w14:paraId="6B795C2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364204D2">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序号</w:t>
            </w:r>
          </w:p>
        </w:tc>
        <w:tc>
          <w:tcPr>
            <w:tcW w:w="1008" w:type="dxa"/>
          </w:tcPr>
          <w:p w14:paraId="365E663F">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参数性质</w:t>
            </w:r>
          </w:p>
        </w:tc>
        <w:tc>
          <w:tcPr>
            <w:tcW w:w="1437" w:type="dxa"/>
          </w:tcPr>
          <w:p w14:paraId="631AFD0E">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类型</w:t>
            </w:r>
          </w:p>
        </w:tc>
        <w:tc>
          <w:tcPr>
            <w:tcW w:w="5184" w:type="dxa"/>
          </w:tcPr>
          <w:p w14:paraId="4573DB89">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要求</w:t>
            </w:r>
          </w:p>
        </w:tc>
      </w:tr>
      <w:tr w14:paraId="3AEC3F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3C0AAAE5">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1</w:t>
            </w:r>
          </w:p>
        </w:tc>
        <w:tc>
          <w:tcPr>
            <w:tcW w:w="1008" w:type="dxa"/>
          </w:tcPr>
          <w:p w14:paraId="015459E1">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w:t>
            </w:r>
          </w:p>
        </w:tc>
        <w:tc>
          <w:tcPr>
            <w:tcW w:w="1437" w:type="dxa"/>
          </w:tcPr>
          <w:p w14:paraId="1C4CF09C">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交付（服务）时间、地点和方式</w:t>
            </w:r>
          </w:p>
        </w:tc>
        <w:tc>
          <w:tcPr>
            <w:tcW w:w="5184" w:type="dxa"/>
          </w:tcPr>
          <w:p w14:paraId="3269B714">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1.交付（服务）时间：合同签订后，以需求单位通知进场时间为准，进场后2个月内交货安装调试完毕，并完成系统的集成、部署、联调、上线运行。</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2.交付（服务）地点：郑州市内甲方指定地点。</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3.交付（服务）方式：供应商完成运输、安装、调试等工作。</w:t>
            </w:r>
          </w:p>
        </w:tc>
      </w:tr>
      <w:tr w14:paraId="069387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518A1600">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2</w:t>
            </w:r>
          </w:p>
        </w:tc>
        <w:tc>
          <w:tcPr>
            <w:tcW w:w="1008" w:type="dxa"/>
          </w:tcPr>
          <w:p w14:paraId="5DCABB30">
            <w:pPr>
              <w:rPr>
                <w:rFonts w:ascii="Calibri" w:hAnsi="Calibri" w:eastAsia="宋体" w:cs="Times New Roman"/>
              </w:rPr>
            </w:pPr>
          </w:p>
        </w:tc>
        <w:tc>
          <w:tcPr>
            <w:tcW w:w="1437" w:type="dxa"/>
          </w:tcPr>
          <w:p w14:paraId="711FE422">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售后服务</w:t>
            </w:r>
          </w:p>
        </w:tc>
        <w:tc>
          <w:tcPr>
            <w:tcW w:w="5184" w:type="dxa"/>
          </w:tcPr>
          <w:p w14:paraId="1CC4715E">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1.自软件验收合格之日起，软件质保期为24个月。</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2.在质保期内，中标供应商按照有关法律、法规和合同约定，承担软件维护责任。中标供应商对提供的软件在质保期内，因产品质量而导致的缺陷，必须免费提供升级服务，因此导致的损失，采购单位有权向中标供应商追偿。</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3.超出质保期后，中标供应商应当提供上门维护服务，仅收取成本费。</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4.中标供应商应当提供2年7×24小时上门保修，根据甲方要求，服务形式包括但不限于远程指导、现地排故和驻场调试，至故障排除为止；遇有故障时中标方需30分钟内作出实质性响应，对重大问题提供现场技术支持，根据需求12小时内到现场维修；问题解决后24小时内，提交问题处理报告，说明问题种类、问题原因、问题解决中使用的方法及造成的损失等情况。中标供应商不能按约定期限派人提供服务的，采购单位在技术允许的范围内自行处理，费用由中标供应商承担。</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5.免费培训</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中标供应商应当根据投标文件的相关培训承诺及项目实施进度，对采购单位相关人员进行培训。</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培训所达到的目标：按甲方要求</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培训师资要求：具备丰富的相同课程教学经验，所有的培训教员必须中文授课</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培训内容：理论培训、现场操作培训，并负责编制培训教材（含安装手册、软件使用手册、 PPT 或视频）</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培训项目：按甲方要求</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培训科目：按甲方要求</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培训对象与人数：按甲方要求</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培训时间/频次：培训次数不超过5次，时长每次不少于 60 分钟</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其他：投标供应商须在投标文件中提出全面、详细的培训计划，包括但不限于培训内容、培训时间、地点、授课老师等，并提供课程体系、培训方法和考核方法等，培训讲师费用由投标供应商负责。投标供应商向甲方提供免费培训。投标供应商必须为所有被培训人员提供培训用文字资料和讲义等相关用品。</w:t>
            </w:r>
          </w:p>
        </w:tc>
      </w:tr>
      <w:tr w14:paraId="380D7B7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7240BFA4">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3</w:t>
            </w:r>
          </w:p>
        </w:tc>
        <w:tc>
          <w:tcPr>
            <w:tcW w:w="1008" w:type="dxa"/>
          </w:tcPr>
          <w:p w14:paraId="7190A726">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w:t>
            </w:r>
          </w:p>
        </w:tc>
        <w:tc>
          <w:tcPr>
            <w:tcW w:w="1437" w:type="dxa"/>
          </w:tcPr>
          <w:p w14:paraId="4E8E1E2E">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知识产权和保密要求</w:t>
            </w:r>
          </w:p>
        </w:tc>
        <w:tc>
          <w:tcPr>
            <w:tcW w:w="5184" w:type="dxa"/>
          </w:tcPr>
          <w:p w14:paraId="43DAB458">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投标供应商应当保证采购单位在使用该物资或其任何一部分时，不受第三方侵权指控。同时，投标供应商不得向第三方泄露采购机构提供的技术文件等材料。</w:t>
            </w:r>
            <w:r>
              <w:rPr>
                <w:rFonts w:hint="eastAsia" w:ascii="Calibri" w:hAnsi="Calibri" w:eastAsia="宋体" w:cs="Times New Roman"/>
                <w:lang w:val="en-US" w:eastAsia="zh-Hans"/>
              </w:rPr>
              <w:br w:type="textWrapping"/>
            </w:r>
            <w:r>
              <w:rPr>
                <w:rFonts w:hint="eastAsia" w:ascii="Calibri" w:hAnsi="Calibri" w:eastAsia="宋体" w:cs="Times New Roman"/>
                <w:lang w:val="en-US" w:eastAsia="zh-Hans"/>
              </w:rPr>
              <w:t>基于项目合同履行形成的知识产权和其他权益，其权属归采购单位所有，法律另有规定的除外。</w:t>
            </w:r>
          </w:p>
        </w:tc>
      </w:tr>
      <w:tr w14:paraId="74EE50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40B65DA8">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4</w:t>
            </w:r>
          </w:p>
        </w:tc>
        <w:tc>
          <w:tcPr>
            <w:tcW w:w="1008" w:type="dxa"/>
          </w:tcPr>
          <w:p w14:paraId="5142A027">
            <w:pPr>
              <w:rPr>
                <w:rFonts w:ascii="Calibri" w:hAnsi="Calibri" w:eastAsia="宋体" w:cs="Times New Roman"/>
              </w:rPr>
            </w:pPr>
          </w:p>
        </w:tc>
        <w:tc>
          <w:tcPr>
            <w:tcW w:w="1437" w:type="dxa"/>
          </w:tcPr>
          <w:p w14:paraId="71FA7E98">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物资编目编码、打码贴签要求</w:t>
            </w:r>
          </w:p>
        </w:tc>
        <w:tc>
          <w:tcPr>
            <w:tcW w:w="5184" w:type="dxa"/>
          </w:tcPr>
          <w:p w14:paraId="48667191">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本项目服务所含配套物资有编目编码、打码贴签要求的，投标供应商应当予以明确响应，相关费用包含在报价中。</w:t>
            </w:r>
          </w:p>
        </w:tc>
      </w:tr>
      <w:tr w14:paraId="7839EB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36006933">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5</w:t>
            </w:r>
          </w:p>
        </w:tc>
        <w:tc>
          <w:tcPr>
            <w:tcW w:w="1008" w:type="dxa"/>
          </w:tcPr>
          <w:p w14:paraId="30C12E68">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w:t>
            </w:r>
          </w:p>
        </w:tc>
        <w:tc>
          <w:tcPr>
            <w:tcW w:w="1437" w:type="dxa"/>
          </w:tcPr>
          <w:p w14:paraId="750AAAEF">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付款及结算方式</w:t>
            </w:r>
          </w:p>
        </w:tc>
        <w:tc>
          <w:tcPr>
            <w:tcW w:w="5184" w:type="dxa"/>
          </w:tcPr>
          <w:p w14:paraId="25AC49AE">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分阶段付款，第1阶段,中标供应商合同签订之日起 7 个工作日，提交合同签订等材料，采购单位支付30%合同款；第2阶段,中标供应商中标供应商系统完成开发、部署并通过甲方组织的初验后 7 个工作日，提交中标供应商系统完成开发、部署并通过甲方组织的初验等材料，采购单位支付40%合同款；第3阶段,中标供应商系统试运行 3 个月，通过甲方组织的项目终验后 7 个工作日内，提交系统试运行 3 个月，通过甲方组织的项目终验等材料，采购单位支付30%合同款；</w:t>
            </w:r>
          </w:p>
        </w:tc>
      </w:tr>
      <w:tr w14:paraId="32DFA8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4E281B86">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6</w:t>
            </w:r>
          </w:p>
        </w:tc>
        <w:tc>
          <w:tcPr>
            <w:tcW w:w="1008" w:type="dxa"/>
          </w:tcPr>
          <w:p w14:paraId="62744B2A">
            <w:pPr>
              <w:rPr>
                <w:rFonts w:ascii="Calibri" w:hAnsi="Calibri" w:eastAsia="宋体" w:cs="Times New Roman"/>
              </w:rPr>
            </w:pPr>
          </w:p>
        </w:tc>
        <w:tc>
          <w:tcPr>
            <w:tcW w:w="1437" w:type="dxa"/>
          </w:tcPr>
          <w:p w14:paraId="139FCEE4">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履约保证金</w:t>
            </w:r>
          </w:p>
        </w:tc>
        <w:tc>
          <w:tcPr>
            <w:tcW w:w="5184" w:type="dxa"/>
          </w:tcPr>
          <w:p w14:paraId="2766BA1D">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中标供应商签订采购合同前，应按合同金额的5%向采购单位提交履约保证金，合同履行货物验收合格后，履约保证金转为质量保证金，质量保证金在质保期满且无质量问题时全额无息退还。</w:t>
            </w:r>
          </w:p>
        </w:tc>
      </w:tr>
      <w:tr w14:paraId="799B37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12CB9C1F">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7</w:t>
            </w:r>
          </w:p>
        </w:tc>
        <w:tc>
          <w:tcPr>
            <w:tcW w:w="1008" w:type="dxa"/>
          </w:tcPr>
          <w:p w14:paraId="13F27517">
            <w:pPr>
              <w:rPr>
                <w:rFonts w:ascii="Calibri" w:hAnsi="Calibri" w:eastAsia="宋体" w:cs="Times New Roman"/>
              </w:rPr>
            </w:pPr>
          </w:p>
        </w:tc>
        <w:tc>
          <w:tcPr>
            <w:tcW w:w="1437" w:type="dxa"/>
          </w:tcPr>
          <w:p w14:paraId="514E3C8C">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其他</w:t>
            </w:r>
          </w:p>
        </w:tc>
        <w:tc>
          <w:tcPr>
            <w:tcW w:w="5184" w:type="dxa"/>
          </w:tcPr>
          <w:p w14:paraId="534AE59C">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投标供应商须进驻甲方办公场所，在甲方指定地点办公，所有开发研制工作均在需求方办公场所完成。中标供应商自开展系统软件的研制工作起，及时与甲方相关项目负责人员沟通具体事宜。甲方安排人员全程进行跟踪、协作与监督。</w:t>
            </w:r>
          </w:p>
        </w:tc>
      </w:tr>
      <w:tr w14:paraId="6E9562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75" w:type="dxa"/>
          </w:tcPr>
          <w:p w14:paraId="2D3390FD">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8</w:t>
            </w:r>
          </w:p>
        </w:tc>
        <w:tc>
          <w:tcPr>
            <w:tcW w:w="1008" w:type="dxa"/>
          </w:tcPr>
          <w:p w14:paraId="49052C8F">
            <w:pPr>
              <w:rPr>
                <w:rFonts w:ascii="Calibri" w:hAnsi="Calibri" w:eastAsia="宋体" w:cs="Times New Roman"/>
              </w:rPr>
            </w:pPr>
          </w:p>
        </w:tc>
        <w:tc>
          <w:tcPr>
            <w:tcW w:w="1437" w:type="dxa"/>
          </w:tcPr>
          <w:p w14:paraId="71BE3741">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其他</w:t>
            </w:r>
          </w:p>
        </w:tc>
        <w:tc>
          <w:tcPr>
            <w:tcW w:w="5184" w:type="dxa"/>
          </w:tcPr>
          <w:p w14:paraId="52D8B084">
            <w:pPr>
              <w:jc w:val="left"/>
              <w:rPr>
                <w:rFonts w:hint="eastAsia" w:ascii="Calibri" w:hAnsi="Calibri" w:eastAsia="宋体" w:cs="Times New Roman"/>
                <w:lang w:val="en-US" w:eastAsia="zh-Hans"/>
              </w:rPr>
            </w:pPr>
            <w:r>
              <w:rPr>
                <w:rFonts w:hint="eastAsia" w:ascii="Calibri" w:hAnsi="Calibri" w:eastAsia="宋体" w:cs="Times New Roman"/>
                <w:lang w:val="en-US" w:eastAsia="zh-Hans"/>
              </w:rPr>
              <w:t>除★条款以外其他非实质性商务条款负偏离≥1项，视为无效投标。</w:t>
            </w:r>
          </w:p>
        </w:tc>
      </w:tr>
    </w:tbl>
    <w:p w14:paraId="2CF5B3D6">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390339"/>
    <w:rsid w:val="07392843"/>
    <w:rsid w:val="19E44606"/>
    <w:rsid w:val="1A390339"/>
    <w:rsid w:val="35BC18E9"/>
    <w:rsid w:val="519F1952"/>
    <w:rsid w:val="5C93373B"/>
    <w:rsid w:val="760A53CB"/>
    <w:rsid w:val="763E7EE6"/>
    <w:rsid w:val="79C96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basedOn w:val="1"/>
    <w:link w:val="6"/>
    <w:qFormat/>
    <w:uiPriority w:val="0"/>
    <w:pPr>
      <w:ind w:firstLine="200" w:firstLineChars="200"/>
    </w:pPr>
    <w:rPr>
      <w:rFonts w:ascii="Times New Roman" w:hAnsi="Times New Roman" w:eastAsia="宋体" w:cs="Times New Roman"/>
      <w:sz w:val="24"/>
    </w:rPr>
  </w:style>
  <w:style w:type="paragraph" w:styleId="3">
    <w:name w:val="Block Text"/>
    <w:basedOn w:val="1"/>
    <w:autoRedefine/>
    <w:qFormat/>
    <w:uiPriority w:val="0"/>
    <w:pPr>
      <w:adjustRightInd w:val="0"/>
      <w:ind w:left="0" w:leftChars="0" w:right="0" w:rightChars="0" w:firstLine="200" w:firstLineChars="200"/>
    </w:pPr>
    <w:rPr>
      <w:rFonts w:ascii="Times New Roman" w:hAnsi="Times New Roman" w:eastAsia="宋体" w:cs="Times New Roman"/>
      <w:sz w:val="24"/>
      <w:szCs w:val="28"/>
    </w:rPr>
  </w:style>
  <w:style w:type="character" w:customStyle="1" w:styleId="6">
    <w:name w:val="正文缩进 字符"/>
    <w:link w:val="2"/>
    <w:autoRedefine/>
    <w:qFormat/>
    <w:uiPriority w:val="0"/>
    <w:rPr>
      <w:rFonts w:ascii="Times New Roman" w:hAnsi="Times New Roman" w:eastAsia="宋体" w:cs="Times New Roman"/>
      <w:kern w:val="2"/>
      <w:sz w:val="24"/>
    </w:rPr>
  </w:style>
  <w:style w:type="paragraph" w:customStyle="1" w:styleId="7">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2026-05-29T06:48:00Z</dcterms:created>
  <dc:creator>ZzGallagher5</dc:creator>
  <cp:lastModifiedBy>ZzGallagher5</cp:lastModifiedBy>
  <dcterms:modified xsi:type="dcterms:W3CDTF">2026-05-29T06:49:21Z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E356CCDE78614B42AE777A3BA03BE41B_11</vt:lpwstr>
  </property>
  <property fmtid="{D5CDD505-2E9C-101B-9397-08002B2CF9AE}" pid="4" name="KSOTemplateDocerSaveRecord">
    <vt:lpwstr>eyJoZGlkIjoiZjVmZTk4YzdjZTllMmUzMzhiMzhiOTMwNDA4ZmY0MGYiLCJ1c2VySWQiOiI2Mzc2OTk4MDMifQ==</vt:lpwstr>
  </property>
</Properties>
</file>