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E2FD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32"/>
          <w:szCs w:val="28"/>
        </w:rPr>
      </w:pPr>
      <w:r>
        <w:rPr>
          <w:rFonts w:ascii="Times New Roman" w:hAnsi="Times New Roman" w:eastAsiaTheme="minorEastAsia"/>
          <w:b w:val="0"/>
          <w:sz w:val="32"/>
          <w:szCs w:val="28"/>
          <w:u w:val="none"/>
        </w:rPr>
        <w:t>电子海图显示与信息系统</w:t>
      </w:r>
    </w:p>
    <w:p w14:paraId="3C548D1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Times New Roman" w:hAnsi="Times New Roman" w:eastAsia="宋体"/>
          <w:b w:val="0"/>
          <w:sz w:val="32"/>
          <w:szCs w:val="28"/>
          <w:lang w:val="en-US" w:eastAsia="zh-CN"/>
        </w:rPr>
      </w:pPr>
      <w:r>
        <w:rPr>
          <w:rFonts w:ascii="Times New Roman" w:hAnsi="Times New Roman" w:eastAsiaTheme="minorEastAsia"/>
          <w:b w:val="0"/>
          <w:sz w:val="32"/>
          <w:szCs w:val="28"/>
          <w:u w:val="none"/>
        </w:rPr>
        <w:t>技术</w:t>
      </w:r>
      <w:r>
        <w:rPr>
          <w:rFonts w:hint="eastAsia" w:ascii="Times New Roman" w:hAnsi="Times New Roman"/>
          <w:b w:val="0"/>
          <w:sz w:val="32"/>
          <w:szCs w:val="28"/>
          <w:u w:val="none"/>
          <w:lang w:val="en-US" w:eastAsia="zh-CN"/>
        </w:rPr>
        <w:t>要求</w:t>
      </w:r>
    </w:p>
    <w:p w14:paraId="4AF23F08">
      <w:pPr>
        <w:keepNext/>
        <w:keepLines/>
        <w:widowControl w:val="0"/>
        <w:numPr>
          <w:ilvl w:val="0"/>
          <w:numId w:val="7"/>
        </w:numPr>
        <w:tabs>
          <w:tab w:val="left" w:pos="420"/>
        </w:tabs>
        <w:spacing w:before="190" w:beforeLines="50" w:after="0" w:line="360" w:lineRule="auto"/>
        <w:ind w:left="431" w:hanging="431"/>
        <w:jc w:val="both"/>
        <w:outlineLvl w:val="0"/>
        <w:rPr>
          <w:rFonts w:hint="eastAsia" w:ascii="黑体" w:hAnsi="黑体" w:eastAsia="黑体" w:cs="Times New Roman"/>
          <w:bCs/>
          <w:kern w:val="44"/>
          <w:sz w:val="24"/>
          <w:szCs w:val="44"/>
          <w:lang w:eastAsia="zh-CN"/>
        </w:rPr>
      </w:pPr>
      <w:r>
        <w:rPr>
          <w:rFonts w:hint="eastAsia" w:ascii="黑体" w:hAnsi="黑体" w:eastAsia="黑体" w:cs="Times New Roman"/>
          <w:bCs/>
          <w:kern w:val="44"/>
          <w:sz w:val="24"/>
          <w:szCs w:val="44"/>
          <w:lang w:eastAsia="zh-CN"/>
        </w:rPr>
        <w:t>执行的标准</w:t>
      </w:r>
    </w:p>
    <w:p w14:paraId="6364D85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Theme="minorEastAsia"/>
          <w:b w:val="0"/>
          <w:sz w:val="24"/>
        </w:rPr>
      </w:pPr>
      <w:r>
        <w:rPr>
          <w:rFonts w:ascii="Times New Roman" w:hAnsi="Times New Roman" w:eastAsiaTheme="minorEastAsia"/>
          <w:b w:val="0"/>
          <w:sz w:val="24"/>
          <w:u w:val="none"/>
        </w:rPr>
        <w:t>本规格书执行下列法规、标准规范等。其最新版本适用于本规格书。</w:t>
      </w:r>
    </w:p>
    <w:p w14:paraId="2AA743A3">
      <w:pPr>
        <w:keepNext w:val="0"/>
        <w:keepLines w:val="0"/>
        <w:pageBreakBefore w:val="0"/>
        <w:widowControl/>
        <w:kinsoku/>
        <w:wordWrap/>
        <w:overflowPunct/>
        <w:topLinePunct w:val="0"/>
        <w:autoSpaceDE/>
        <w:autoSpaceDN/>
        <w:bidi w:val="0"/>
        <w:adjustRightInd/>
        <w:snapToGrid/>
        <w:spacing w:after="0" w:line="360" w:lineRule="auto"/>
        <w:ind w:left="397"/>
        <w:textAlignment w:val="auto"/>
        <w:rPr>
          <w:rFonts w:ascii="Times New Roman" w:hAnsi="Times New Roman" w:eastAsiaTheme="minorEastAsia"/>
          <w:b w:val="0"/>
          <w:sz w:val="24"/>
        </w:rPr>
      </w:pPr>
      <w:r>
        <w:rPr>
          <w:rFonts w:ascii="Times New Roman" w:hAnsi="Times New Roman" w:eastAsiaTheme="minorEastAsia"/>
          <w:b w:val="0"/>
          <w:sz w:val="24"/>
          <w:u w:val="none"/>
        </w:rPr>
        <w:t>IEC 61174-2015</w:t>
      </w:r>
      <w:r>
        <w:rPr>
          <w:rFonts w:hint="eastAsia" w:ascii="Times New Roman" w:hAnsi="Times New Roman" w:eastAsiaTheme="minorEastAsia"/>
          <w:b w:val="0"/>
          <w:sz w:val="24"/>
          <w:u w:val="none"/>
          <w:lang w:val="en-US" w:eastAsia="zh-CN"/>
        </w:rPr>
        <w:tab/>
      </w:r>
      <w:r>
        <w:rPr>
          <w:rFonts w:ascii="Times New Roman" w:hAnsi="Times New Roman" w:eastAsiaTheme="minorEastAsia"/>
          <w:b w:val="0"/>
          <w:sz w:val="24"/>
          <w:u w:val="none"/>
        </w:rPr>
        <w:t>海上导航和无线电通信设备及系统  电子海图显示和信息系统（ECDIS）</w:t>
      </w:r>
    </w:p>
    <w:p w14:paraId="101B4279">
      <w:pPr>
        <w:keepNext w:val="0"/>
        <w:keepLines w:val="0"/>
        <w:pageBreakBefore w:val="0"/>
        <w:widowControl/>
        <w:kinsoku/>
        <w:wordWrap/>
        <w:overflowPunct/>
        <w:topLinePunct w:val="0"/>
        <w:autoSpaceDE/>
        <w:autoSpaceDN/>
        <w:bidi w:val="0"/>
        <w:adjustRightInd/>
        <w:snapToGrid/>
        <w:spacing w:after="0" w:line="360" w:lineRule="auto"/>
        <w:ind w:left="397"/>
        <w:textAlignment w:val="auto"/>
        <w:rPr>
          <w:rFonts w:ascii="Times New Roman" w:hAnsi="Times New Roman" w:eastAsiaTheme="minorEastAsia"/>
          <w:b w:val="0"/>
          <w:sz w:val="24"/>
        </w:rPr>
      </w:pPr>
      <w:r>
        <w:rPr>
          <w:rFonts w:ascii="Times New Roman" w:hAnsi="Times New Roman" w:eastAsiaTheme="minorEastAsia"/>
          <w:b w:val="0"/>
          <w:sz w:val="24"/>
          <w:u w:val="none"/>
        </w:rPr>
        <w:t>操作和性能要求、测试方法及要求的测试结果</w:t>
      </w:r>
    </w:p>
    <w:p w14:paraId="28E69901">
      <w:pPr>
        <w:keepNext w:val="0"/>
        <w:keepLines w:val="0"/>
        <w:pageBreakBefore w:val="0"/>
        <w:widowControl/>
        <w:kinsoku/>
        <w:wordWrap/>
        <w:overflowPunct/>
        <w:topLinePunct w:val="0"/>
        <w:autoSpaceDE/>
        <w:autoSpaceDN/>
        <w:bidi w:val="0"/>
        <w:adjustRightInd/>
        <w:snapToGrid/>
        <w:spacing w:after="0" w:line="360" w:lineRule="auto"/>
        <w:ind w:left="397"/>
        <w:textAlignment w:val="auto"/>
        <w:rPr>
          <w:rFonts w:ascii="Times New Roman" w:hAnsi="Times New Roman" w:eastAsiaTheme="minorEastAsia"/>
          <w:b w:val="0"/>
          <w:sz w:val="24"/>
        </w:rPr>
      </w:pPr>
      <w:r>
        <w:rPr>
          <w:rFonts w:ascii="Times New Roman" w:hAnsi="Times New Roman" w:eastAsiaTheme="minorEastAsia"/>
          <w:b w:val="0"/>
          <w:sz w:val="24"/>
          <w:u w:val="none"/>
        </w:rPr>
        <w:t>GB/T 43053-2023</w:t>
      </w:r>
      <w:r>
        <w:rPr>
          <w:rFonts w:hint="eastAsia" w:ascii="Times New Roman" w:hAnsi="Times New Roman" w:eastAsiaTheme="minorEastAsia"/>
          <w:b w:val="0"/>
          <w:sz w:val="24"/>
          <w:u w:val="none"/>
          <w:lang w:val="en-US" w:eastAsia="zh-CN"/>
        </w:rPr>
        <w:tab/>
      </w:r>
      <w:r>
        <w:rPr>
          <w:rFonts w:ascii="Times New Roman" w:hAnsi="Times New Roman" w:eastAsiaTheme="minorEastAsia"/>
          <w:b w:val="0"/>
          <w:sz w:val="24"/>
          <w:u w:val="none"/>
        </w:rPr>
        <w:t>海上导航和无线电通信设备及系统  电子海图显示与信息系统（ECDIS）</w:t>
      </w:r>
      <w:bookmarkStart w:id="17" w:name="_GoBack"/>
      <w:bookmarkEnd w:id="17"/>
    </w:p>
    <w:p w14:paraId="737968F5">
      <w:pPr>
        <w:keepNext w:val="0"/>
        <w:keepLines w:val="0"/>
        <w:pageBreakBefore w:val="0"/>
        <w:widowControl/>
        <w:kinsoku/>
        <w:wordWrap/>
        <w:overflowPunct/>
        <w:topLinePunct w:val="0"/>
        <w:autoSpaceDE/>
        <w:autoSpaceDN/>
        <w:bidi w:val="0"/>
        <w:adjustRightInd/>
        <w:snapToGrid/>
        <w:spacing w:after="0" w:line="360" w:lineRule="auto"/>
        <w:ind w:left="397"/>
        <w:textAlignment w:val="auto"/>
        <w:rPr>
          <w:rFonts w:ascii="Times New Roman" w:hAnsi="Times New Roman" w:eastAsiaTheme="minorEastAsia"/>
          <w:b w:val="0"/>
          <w:sz w:val="24"/>
        </w:rPr>
      </w:pPr>
      <w:r>
        <w:rPr>
          <w:rFonts w:ascii="Times New Roman" w:hAnsi="Times New Roman" w:eastAsiaTheme="minorEastAsia"/>
          <w:b w:val="0"/>
          <w:sz w:val="24"/>
          <w:u w:val="none"/>
        </w:rPr>
        <w:t>操作和性能要求、测试方法及要求的测试结果</w:t>
      </w:r>
    </w:p>
    <w:p w14:paraId="788DBAAE">
      <w:pPr>
        <w:keepNext w:val="0"/>
        <w:keepLines w:val="0"/>
        <w:pageBreakBefore w:val="0"/>
        <w:widowControl/>
        <w:kinsoku/>
        <w:wordWrap/>
        <w:overflowPunct/>
        <w:topLinePunct w:val="0"/>
        <w:autoSpaceDE/>
        <w:autoSpaceDN/>
        <w:bidi w:val="0"/>
        <w:adjustRightInd/>
        <w:snapToGrid/>
        <w:spacing w:after="0" w:line="360" w:lineRule="auto"/>
        <w:ind w:left="397"/>
        <w:textAlignment w:val="auto"/>
        <w:rPr>
          <w:rFonts w:ascii="Times New Roman" w:hAnsi="Times New Roman" w:eastAsiaTheme="minorEastAsia"/>
          <w:b w:val="0"/>
          <w:sz w:val="24"/>
        </w:rPr>
      </w:pPr>
      <w:r>
        <w:rPr>
          <w:rFonts w:ascii="Times New Roman" w:hAnsi="Times New Roman" w:eastAsiaTheme="minorEastAsia"/>
          <w:b w:val="0"/>
          <w:sz w:val="24"/>
          <w:u w:val="none"/>
        </w:rPr>
        <w:t>IEC 62288-2024</w:t>
      </w:r>
      <w:r>
        <w:rPr>
          <w:rFonts w:hint="eastAsia" w:ascii="Times New Roman" w:hAnsi="Times New Roman" w:eastAsiaTheme="minorEastAsia"/>
          <w:b w:val="0"/>
          <w:sz w:val="24"/>
          <w:u w:val="none"/>
          <w:lang w:val="en-US" w:eastAsia="zh-CN"/>
        </w:rPr>
        <w:tab/>
      </w:r>
      <w:r>
        <w:rPr>
          <w:rFonts w:ascii="Times New Roman" w:hAnsi="Times New Roman" w:eastAsiaTheme="minorEastAsia"/>
          <w:b w:val="0"/>
          <w:sz w:val="24"/>
          <w:u w:val="none"/>
        </w:rPr>
        <w:t>海上导航和无线电通信设备及系统  船载导航显示器上导航相关信息的</w:t>
      </w:r>
    </w:p>
    <w:p w14:paraId="0ED52B50">
      <w:pPr>
        <w:keepNext w:val="0"/>
        <w:keepLines w:val="0"/>
        <w:pageBreakBefore w:val="0"/>
        <w:widowControl/>
        <w:kinsoku/>
        <w:wordWrap/>
        <w:overflowPunct/>
        <w:topLinePunct w:val="0"/>
        <w:autoSpaceDE/>
        <w:autoSpaceDN/>
        <w:bidi w:val="0"/>
        <w:adjustRightInd/>
        <w:snapToGrid/>
        <w:spacing w:after="0" w:line="360" w:lineRule="auto"/>
        <w:ind w:left="397"/>
        <w:textAlignment w:val="auto"/>
        <w:rPr>
          <w:rFonts w:ascii="Times New Roman" w:hAnsi="Times New Roman" w:eastAsiaTheme="minorEastAsia"/>
          <w:b w:val="0"/>
          <w:sz w:val="24"/>
        </w:rPr>
      </w:pPr>
      <w:r>
        <w:rPr>
          <w:rFonts w:ascii="Times New Roman" w:hAnsi="Times New Roman" w:eastAsiaTheme="minorEastAsia"/>
          <w:b w:val="0"/>
          <w:sz w:val="24"/>
          <w:u w:val="none"/>
        </w:rPr>
        <w:t>显示 一般要求、测试方法和所需测试结果合并版</w:t>
      </w:r>
    </w:p>
    <w:p w14:paraId="0D60031D">
      <w:pPr>
        <w:keepNext w:val="0"/>
        <w:keepLines w:val="0"/>
        <w:pageBreakBefore w:val="0"/>
        <w:widowControl/>
        <w:kinsoku/>
        <w:wordWrap/>
        <w:overflowPunct/>
        <w:topLinePunct w:val="0"/>
        <w:autoSpaceDE/>
        <w:autoSpaceDN/>
        <w:bidi w:val="0"/>
        <w:adjustRightInd/>
        <w:snapToGrid/>
        <w:spacing w:after="0" w:line="360" w:lineRule="auto"/>
        <w:ind w:left="397"/>
        <w:textAlignment w:val="auto"/>
        <w:rPr>
          <w:rFonts w:ascii="Times New Roman" w:hAnsi="Times New Roman" w:eastAsiaTheme="minorEastAsia"/>
          <w:b w:val="0"/>
          <w:sz w:val="24"/>
        </w:rPr>
      </w:pPr>
      <w:r>
        <w:rPr>
          <w:rFonts w:ascii="Times New Roman" w:hAnsi="Times New Roman" w:eastAsiaTheme="minorEastAsia"/>
          <w:b w:val="0"/>
          <w:sz w:val="24"/>
          <w:u w:val="none"/>
        </w:rPr>
        <w:t>IHO S-57</w:t>
      </w:r>
      <w:r>
        <w:rPr>
          <w:rFonts w:hint="eastAsia" w:ascii="Times New Roman" w:hAnsi="Times New Roman" w:eastAsiaTheme="minorEastAsia"/>
          <w:b w:val="0"/>
          <w:sz w:val="24"/>
          <w:u w:val="none"/>
          <w:lang w:val="en-US" w:eastAsia="zh-CN"/>
        </w:rPr>
        <w:tab/>
      </w:r>
      <w:r>
        <w:rPr>
          <w:rFonts w:ascii="Times New Roman" w:hAnsi="Times New Roman" w:eastAsiaTheme="minorEastAsia"/>
          <w:b w:val="0"/>
          <w:sz w:val="24"/>
          <w:u w:val="none"/>
        </w:rPr>
        <w:t>3.1版</w:t>
      </w:r>
      <w:r>
        <w:rPr>
          <w:rFonts w:hint="eastAsia" w:ascii="Times New Roman" w:hAnsi="Times New Roman" w:eastAsiaTheme="minorEastAsia"/>
          <w:b w:val="0"/>
          <w:sz w:val="24"/>
          <w:u w:val="none"/>
          <w:lang w:val="en-US" w:eastAsia="zh-CN"/>
        </w:rPr>
        <w:tab/>
      </w:r>
      <w:r>
        <w:rPr>
          <w:rFonts w:ascii="Times New Roman" w:hAnsi="Times New Roman" w:eastAsiaTheme="minorEastAsia"/>
          <w:b w:val="0"/>
          <w:sz w:val="24"/>
          <w:u w:val="none"/>
        </w:rPr>
        <w:t>数字水文数据传输标准</w:t>
      </w:r>
    </w:p>
    <w:p w14:paraId="19D64180">
      <w:pPr>
        <w:keepNext w:val="0"/>
        <w:keepLines w:val="0"/>
        <w:pageBreakBefore w:val="0"/>
        <w:widowControl/>
        <w:kinsoku/>
        <w:wordWrap/>
        <w:overflowPunct/>
        <w:topLinePunct w:val="0"/>
        <w:autoSpaceDE/>
        <w:autoSpaceDN/>
        <w:bidi w:val="0"/>
        <w:adjustRightInd/>
        <w:snapToGrid/>
        <w:spacing w:after="0" w:line="360" w:lineRule="auto"/>
        <w:ind w:left="397"/>
        <w:textAlignment w:val="auto"/>
        <w:rPr>
          <w:rFonts w:ascii="Times New Roman" w:hAnsi="Times New Roman" w:eastAsiaTheme="minorEastAsia"/>
          <w:b w:val="0"/>
          <w:sz w:val="24"/>
        </w:rPr>
      </w:pPr>
      <w:r>
        <w:rPr>
          <w:rFonts w:ascii="Times New Roman" w:hAnsi="Times New Roman" w:eastAsiaTheme="minorEastAsia"/>
          <w:b w:val="0"/>
          <w:sz w:val="24"/>
          <w:u w:val="none"/>
        </w:rPr>
        <w:t>IHO S-52</w:t>
      </w:r>
      <w:r>
        <w:rPr>
          <w:rFonts w:hint="eastAsia" w:ascii="Times New Roman" w:hAnsi="Times New Roman" w:eastAsiaTheme="minorEastAsia"/>
          <w:b w:val="0"/>
          <w:sz w:val="24"/>
          <w:u w:val="none"/>
          <w:lang w:val="en-US" w:eastAsia="zh-CN"/>
        </w:rPr>
        <w:tab/>
      </w:r>
      <w:r>
        <w:rPr>
          <w:rFonts w:ascii="Times New Roman" w:hAnsi="Times New Roman" w:eastAsiaTheme="minorEastAsia"/>
          <w:b w:val="0"/>
          <w:sz w:val="24"/>
          <w:u w:val="none"/>
        </w:rPr>
        <w:t>6.1版</w:t>
      </w:r>
      <w:r>
        <w:rPr>
          <w:rFonts w:hint="eastAsia" w:ascii="Times New Roman" w:hAnsi="Times New Roman" w:eastAsiaTheme="minorEastAsia"/>
          <w:b w:val="0"/>
          <w:sz w:val="24"/>
          <w:u w:val="none"/>
          <w:lang w:val="en-US" w:eastAsia="zh-CN"/>
        </w:rPr>
        <w:tab/>
      </w:r>
      <w:r>
        <w:rPr>
          <w:rFonts w:ascii="Times New Roman" w:hAnsi="Times New Roman" w:eastAsiaTheme="minorEastAsia"/>
          <w:b w:val="0"/>
          <w:sz w:val="24"/>
          <w:u w:val="none"/>
        </w:rPr>
        <w:t>ECDIS的海图内容和显示方面</w:t>
      </w:r>
    </w:p>
    <w:p w14:paraId="4CAD4D02">
      <w:pPr>
        <w:keepNext w:val="0"/>
        <w:keepLines w:val="0"/>
        <w:pageBreakBefore w:val="0"/>
        <w:widowControl/>
        <w:kinsoku/>
        <w:wordWrap/>
        <w:overflowPunct/>
        <w:topLinePunct w:val="0"/>
        <w:autoSpaceDE/>
        <w:autoSpaceDN/>
        <w:bidi w:val="0"/>
        <w:adjustRightInd/>
        <w:snapToGrid/>
        <w:spacing w:after="0" w:line="360" w:lineRule="auto"/>
        <w:ind w:left="397"/>
        <w:textAlignment w:val="auto"/>
        <w:rPr>
          <w:rFonts w:ascii="Times New Roman" w:hAnsi="Times New Roman" w:eastAsiaTheme="minorEastAsia"/>
          <w:b w:val="0"/>
          <w:sz w:val="24"/>
        </w:rPr>
      </w:pPr>
      <w:r>
        <w:rPr>
          <w:rFonts w:ascii="Times New Roman" w:hAnsi="Times New Roman" w:eastAsiaTheme="minorEastAsia"/>
          <w:b w:val="0"/>
          <w:sz w:val="24"/>
          <w:u w:val="none"/>
        </w:rPr>
        <w:t>IHO S-52</w:t>
      </w:r>
      <w:r>
        <w:rPr>
          <w:rFonts w:hint="eastAsia" w:ascii="Times New Roman" w:hAnsi="Times New Roman" w:eastAsiaTheme="minorEastAsia"/>
          <w:b w:val="0"/>
          <w:sz w:val="24"/>
          <w:u w:val="none"/>
          <w:lang w:val="en-US" w:eastAsia="zh-CN"/>
        </w:rPr>
        <w:tab/>
      </w:r>
      <w:r>
        <w:rPr>
          <w:rFonts w:ascii="Times New Roman" w:hAnsi="Times New Roman" w:eastAsiaTheme="minorEastAsia"/>
          <w:b w:val="0"/>
          <w:sz w:val="24"/>
          <w:u w:val="none"/>
        </w:rPr>
        <w:t>PresLib4.0版  ECDIS的演示库、S-52附件A</w:t>
      </w:r>
    </w:p>
    <w:p w14:paraId="3AE8C4A4">
      <w:pPr>
        <w:keepNext w:val="0"/>
        <w:keepLines w:val="0"/>
        <w:pageBreakBefore w:val="0"/>
        <w:widowControl/>
        <w:kinsoku/>
        <w:wordWrap/>
        <w:overflowPunct/>
        <w:topLinePunct w:val="0"/>
        <w:autoSpaceDE/>
        <w:autoSpaceDN/>
        <w:bidi w:val="0"/>
        <w:adjustRightInd/>
        <w:snapToGrid/>
        <w:spacing w:after="0" w:line="360" w:lineRule="auto"/>
        <w:ind w:left="397"/>
        <w:textAlignment w:val="auto"/>
        <w:rPr>
          <w:rFonts w:ascii="Times New Roman" w:hAnsi="Times New Roman" w:eastAsiaTheme="minorEastAsia"/>
          <w:b w:val="0"/>
          <w:sz w:val="24"/>
        </w:rPr>
      </w:pPr>
      <w:r>
        <w:rPr>
          <w:rFonts w:ascii="Times New Roman" w:hAnsi="Times New Roman" w:eastAsiaTheme="minorEastAsia"/>
          <w:b w:val="0"/>
          <w:sz w:val="24"/>
          <w:u w:val="none"/>
        </w:rPr>
        <w:t>IHO S-63</w:t>
      </w:r>
      <w:r>
        <w:rPr>
          <w:rFonts w:hint="eastAsia" w:ascii="Times New Roman" w:hAnsi="Times New Roman" w:eastAsiaTheme="minorEastAsia"/>
          <w:b w:val="0"/>
          <w:sz w:val="24"/>
          <w:u w:val="none"/>
          <w:lang w:val="en-US" w:eastAsia="zh-CN"/>
        </w:rPr>
        <w:tab/>
      </w:r>
      <w:r>
        <w:rPr>
          <w:rFonts w:ascii="Times New Roman" w:hAnsi="Times New Roman" w:eastAsiaTheme="minorEastAsia"/>
          <w:b w:val="0"/>
          <w:sz w:val="24"/>
          <w:u w:val="none"/>
        </w:rPr>
        <w:t>1.2版</w:t>
      </w:r>
      <w:r>
        <w:rPr>
          <w:rFonts w:hint="eastAsia" w:ascii="Times New Roman" w:hAnsi="Times New Roman" w:eastAsiaTheme="minorEastAsia"/>
          <w:b w:val="0"/>
          <w:sz w:val="24"/>
          <w:u w:val="none"/>
          <w:lang w:val="en-US" w:eastAsia="zh-CN"/>
        </w:rPr>
        <w:tab/>
      </w:r>
      <w:r>
        <w:rPr>
          <w:rFonts w:ascii="Times New Roman" w:hAnsi="Times New Roman" w:eastAsiaTheme="minorEastAsia"/>
          <w:b w:val="0"/>
          <w:sz w:val="24"/>
          <w:u w:val="none"/>
        </w:rPr>
        <w:t>数据保护方案</w:t>
      </w:r>
    </w:p>
    <w:p w14:paraId="4209DCC7">
      <w:pPr>
        <w:keepNext w:val="0"/>
        <w:keepLines w:val="0"/>
        <w:pageBreakBefore w:val="0"/>
        <w:widowControl/>
        <w:kinsoku/>
        <w:wordWrap/>
        <w:overflowPunct/>
        <w:topLinePunct w:val="0"/>
        <w:autoSpaceDE/>
        <w:autoSpaceDN/>
        <w:bidi w:val="0"/>
        <w:adjustRightInd/>
        <w:snapToGrid/>
        <w:spacing w:after="0" w:line="360" w:lineRule="auto"/>
        <w:ind w:left="397"/>
        <w:textAlignment w:val="auto"/>
        <w:rPr>
          <w:rFonts w:ascii="Times New Roman" w:hAnsi="Times New Roman" w:eastAsiaTheme="minorEastAsia"/>
          <w:b w:val="0"/>
          <w:sz w:val="24"/>
          <w:u w:val="none"/>
        </w:rPr>
      </w:pPr>
      <w:r>
        <w:rPr>
          <w:rFonts w:ascii="Times New Roman" w:hAnsi="Times New Roman" w:eastAsiaTheme="minorEastAsia"/>
          <w:b w:val="0"/>
          <w:sz w:val="24"/>
          <w:u w:val="none"/>
        </w:rPr>
        <w:t>GJB438C-2021</w:t>
      </w:r>
      <w:r>
        <w:rPr>
          <w:rFonts w:hint="eastAsia" w:ascii="Times New Roman" w:hAnsi="Times New Roman" w:eastAsiaTheme="minorEastAsia"/>
          <w:b w:val="0"/>
          <w:sz w:val="24"/>
          <w:u w:val="none"/>
          <w:lang w:val="en-US" w:eastAsia="zh-CN"/>
        </w:rPr>
        <w:tab/>
      </w:r>
      <w:r>
        <w:rPr>
          <w:rFonts w:ascii="Times New Roman" w:hAnsi="Times New Roman" w:eastAsiaTheme="minorEastAsia"/>
          <w:b w:val="0"/>
          <w:sz w:val="24"/>
          <w:u w:val="none"/>
        </w:rPr>
        <w:t>军用软件开发文档通用要求</w:t>
      </w:r>
    </w:p>
    <w:p w14:paraId="09A6FF50">
      <w:pPr>
        <w:keepNext/>
        <w:keepLines/>
        <w:widowControl w:val="0"/>
        <w:numPr>
          <w:ilvl w:val="0"/>
          <w:numId w:val="7"/>
        </w:numPr>
        <w:tabs>
          <w:tab w:val="left" w:pos="420"/>
        </w:tabs>
        <w:spacing w:before="190" w:beforeLines="50" w:after="0" w:line="360" w:lineRule="auto"/>
        <w:ind w:left="431" w:hanging="431"/>
        <w:jc w:val="both"/>
        <w:outlineLvl w:val="0"/>
        <w:rPr>
          <w:rFonts w:hint="eastAsia" w:ascii="黑体" w:hAnsi="黑体" w:eastAsia="黑体" w:cs="Times New Roman"/>
          <w:bCs/>
          <w:kern w:val="44"/>
          <w:sz w:val="24"/>
          <w:szCs w:val="44"/>
          <w:lang w:eastAsia="zh-CN"/>
        </w:rPr>
      </w:pPr>
      <w:bookmarkStart w:id="0" w:name="_Toc216690487"/>
      <w:r>
        <w:rPr>
          <w:rFonts w:hint="eastAsia" w:ascii="黑体" w:hAnsi="黑体" w:eastAsia="黑体" w:cs="Times New Roman"/>
          <w:bCs/>
          <w:kern w:val="44"/>
          <w:sz w:val="24"/>
          <w:szCs w:val="44"/>
          <w:lang w:eastAsia="zh-CN"/>
        </w:rPr>
        <w:t>功能要求</w:t>
      </w:r>
      <w:bookmarkEnd w:id="0"/>
    </w:p>
    <w:p w14:paraId="0954F101">
      <w:pPr>
        <w:keepNext/>
        <w:keepLines/>
        <w:widowControl w:val="0"/>
        <w:numPr>
          <w:ilvl w:val="1"/>
          <w:numId w:val="7"/>
        </w:numPr>
        <w:tabs>
          <w:tab w:val="left" w:pos="616"/>
        </w:tabs>
        <w:spacing w:after="0" w:line="360" w:lineRule="auto"/>
        <w:jc w:val="both"/>
        <w:outlineLvl w:val="1"/>
        <w:rPr>
          <w:rFonts w:hint="eastAsia" w:ascii="黑体" w:hAnsi="黑体" w:eastAsia="黑体" w:cs="Times New Roman"/>
          <w:bCs/>
          <w:kern w:val="2"/>
          <w:sz w:val="24"/>
          <w:szCs w:val="32"/>
          <w:lang w:eastAsia="zh-CN"/>
        </w:rPr>
      </w:pPr>
      <w:r>
        <w:rPr>
          <w:rFonts w:hint="eastAsia" w:ascii="黑体" w:hAnsi="黑体" w:eastAsia="黑体" w:cs="Times New Roman"/>
          <w:bCs/>
          <w:kern w:val="2"/>
          <w:sz w:val="24"/>
          <w:szCs w:val="32"/>
          <w:lang w:eastAsia="zh-CN"/>
        </w:rPr>
        <w:t>海图综合态势展示</w:t>
      </w:r>
    </w:p>
    <w:p w14:paraId="2C5D3DA6">
      <w:pPr>
        <w:widowControl w:val="0"/>
        <w:numPr>
          <w:ilvl w:val="0"/>
          <w:numId w:val="8"/>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标准符合性：核心显示与操作需符合IEC 61174-2015、</w:t>
      </w:r>
      <w:r>
        <w:rPr>
          <w:rFonts w:hint="eastAsia" w:ascii="Times New Roman" w:hAnsi="Times New Roman" w:eastAsia="宋体" w:cs="Times New Roman"/>
          <w:kern w:val="2"/>
          <w:sz w:val="24"/>
          <w:szCs w:val="20"/>
          <w:lang w:eastAsia="zh-CN"/>
        </w:rPr>
        <w:t>IEC 62288-2024、</w:t>
      </w:r>
      <w:r>
        <w:rPr>
          <w:rFonts w:ascii="Times New Roman" w:hAnsi="Times New Roman" w:eastAsia="宋体" w:cs="Times New Roman"/>
          <w:kern w:val="2"/>
          <w:sz w:val="24"/>
          <w:szCs w:val="20"/>
          <w:lang w:eastAsia="zh-CN"/>
        </w:rPr>
        <w:t>GB/T 43053-2023；海图数据处理需符合IHO S-57 3.1版、IHO S-</w:t>
      </w:r>
      <w:r>
        <w:rPr>
          <w:rFonts w:hint="eastAsia" w:ascii="Times New Roman" w:hAnsi="Times New Roman" w:eastAsia="宋体" w:cs="Times New Roman"/>
          <w:kern w:val="2"/>
          <w:sz w:val="24"/>
          <w:szCs w:val="20"/>
          <w:lang w:eastAsia="zh-CN"/>
        </w:rPr>
        <w:t>63</w:t>
      </w:r>
      <w:r>
        <w:rPr>
          <w:rFonts w:ascii="Times New Roman" w:hAnsi="Times New Roman" w:eastAsia="宋体" w:cs="Times New Roman"/>
          <w:kern w:val="2"/>
          <w:sz w:val="24"/>
          <w:szCs w:val="20"/>
          <w:lang w:eastAsia="zh-CN"/>
        </w:rPr>
        <w:t xml:space="preserve"> </w:t>
      </w:r>
      <w:r>
        <w:rPr>
          <w:rFonts w:hint="eastAsia" w:ascii="Times New Roman" w:hAnsi="Times New Roman" w:eastAsia="宋体" w:cs="Times New Roman"/>
          <w:kern w:val="2"/>
          <w:sz w:val="24"/>
          <w:szCs w:val="20"/>
          <w:lang w:eastAsia="zh-CN"/>
        </w:rPr>
        <w:t>1.2</w:t>
      </w:r>
      <w:r>
        <w:rPr>
          <w:rFonts w:ascii="Times New Roman" w:hAnsi="Times New Roman" w:eastAsia="宋体" w:cs="Times New Roman"/>
          <w:kern w:val="2"/>
          <w:sz w:val="24"/>
          <w:szCs w:val="20"/>
          <w:lang w:eastAsia="zh-CN"/>
        </w:rPr>
        <w:t>版、IHO S-52 6.1版及IHO S-52 PresLib 4.0版标准。</w:t>
      </w:r>
    </w:p>
    <w:p w14:paraId="5CF5178B">
      <w:pPr>
        <w:widowControl w:val="0"/>
        <w:numPr>
          <w:ilvl w:val="0"/>
          <w:numId w:val="8"/>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接入并展示标准电子海图（S-57/S-63），支持海图自动匹配、选择、缩放、漫游、图层控制（基础/标准/全部）</w:t>
      </w:r>
      <w:r>
        <w:rPr>
          <w:rFonts w:hint="eastAsia" w:ascii="Times New Roman" w:hAnsi="Times New Roman" w:eastAsia="宋体" w:cs="Times New Roman"/>
          <w:kern w:val="2"/>
          <w:sz w:val="24"/>
          <w:szCs w:val="20"/>
          <w:lang w:eastAsia="zh-CN"/>
        </w:rPr>
        <w:t>，</w:t>
      </w:r>
      <w:r>
        <w:rPr>
          <w:rFonts w:ascii="Times New Roman" w:hAnsi="Times New Roman" w:eastAsia="宋体" w:cs="Times New Roman"/>
          <w:kern w:val="2"/>
          <w:sz w:val="24"/>
          <w:szCs w:val="20"/>
          <w:lang w:eastAsia="zh-CN"/>
        </w:rPr>
        <w:t>可开关显示特定要素。</w:t>
      </w:r>
    </w:p>
    <w:p w14:paraId="65E85D49">
      <w:pPr>
        <w:widowControl w:val="0"/>
        <w:numPr>
          <w:ilvl w:val="0"/>
          <w:numId w:val="8"/>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支持IMO要求的多种配色模式（白天、黄昏、夜晚），夜间模式亮度需符合规范</w:t>
      </w:r>
      <w:r>
        <w:rPr>
          <w:rFonts w:hint="eastAsia" w:ascii="Times New Roman" w:hAnsi="Times New Roman" w:eastAsia="宋体" w:cs="Times New Roman"/>
          <w:kern w:val="2"/>
          <w:sz w:val="24"/>
          <w:szCs w:val="20"/>
          <w:lang w:eastAsia="zh-CN"/>
        </w:rPr>
        <w:t>。</w:t>
      </w:r>
    </w:p>
    <w:p w14:paraId="442D678E">
      <w:pPr>
        <w:widowControl w:val="0"/>
        <w:numPr>
          <w:ilvl w:val="0"/>
          <w:numId w:val="8"/>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支持“正北向上”和“船艏向上”模式切换，以及“真实位移”和“相对位移”模式。</w:t>
      </w:r>
    </w:p>
    <w:p w14:paraId="6748AB15">
      <w:pPr>
        <w:keepNext/>
        <w:keepLines/>
        <w:widowControl w:val="0"/>
        <w:numPr>
          <w:ilvl w:val="1"/>
          <w:numId w:val="7"/>
        </w:numPr>
        <w:tabs>
          <w:tab w:val="left" w:pos="616"/>
        </w:tabs>
        <w:spacing w:after="0" w:line="360" w:lineRule="auto"/>
        <w:jc w:val="both"/>
        <w:outlineLvl w:val="1"/>
        <w:rPr>
          <w:rFonts w:hint="eastAsia" w:ascii="黑体" w:hAnsi="黑体" w:eastAsia="黑体" w:cs="Times New Roman"/>
          <w:bCs/>
          <w:kern w:val="2"/>
          <w:sz w:val="24"/>
          <w:szCs w:val="32"/>
          <w:lang w:eastAsia="zh-CN"/>
        </w:rPr>
      </w:pPr>
      <w:bookmarkStart w:id="1" w:name="_Toc10962"/>
      <w:bookmarkStart w:id="2" w:name="_Toc28477"/>
      <w:r>
        <w:rPr>
          <w:rFonts w:hint="eastAsia" w:ascii="黑体" w:hAnsi="黑体" w:eastAsia="黑体" w:cs="Times New Roman"/>
          <w:bCs/>
          <w:kern w:val="2"/>
          <w:sz w:val="24"/>
          <w:szCs w:val="32"/>
          <w:lang w:eastAsia="zh-CN"/>
        </w:rPr>
        <w:t>AIS/雷达等目标信息的处理与显示</w:t>
      </w:r>
      <w:bookmarkEnd w:id="1"/>
      <w:bookmarkEnd w:id="2"/>
    </w:p>
    <w:p w14:paraId="5A30DE89">
      <w:pPr>
        <w:widowControl w:val="0"/>
        <w:numPr>
          <w:ilvl w:val="0"/>
          <w:numId w:val="9"/>
        </w:numPr>
        <w:spacing w:after="0" w:line="360" w:lineRule="auto"/>
        <w:ind w:left="0" w:firstLine="480" w:firstLineChars="200"/>
        <w:jc w:val="left"/>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基于OpenGL技术实现雷达回波图像在电子海图上的实时叠加，</w:t>
      </w:r>
      <w:r>
        <w:rPr>
          <w:rFonts w:ascii="Times New Roman" w:hAnsi="Times New Roman" w:eastAsia="宋体" w:cs="Times New Roman"/>
          <w:kern w:val="2"/>
          <w:sz w:val="24"/>
          <w:szCs w:val="20"/>
          <w:lang w:eastAsia="zh-CN"/>
        </w:rPr>
        <w:t>集成并处理来自雷达、AIS、ARPA等导航设备的动态数据。</w:t>
      </w:r>
    </w:p>
    <w:p w14:paraId="0097423D">
      <w:pPr>
        <w:widowControl w:val="0"/>
        <w:numPr>
          <w:ilvl w:val="0"/>
          <w:numId w:val="9"/>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将AIS目标符号、雷达回波、ARPA跟踪目标与本船符号，准确叠加在电子海图上的相应地理位置。</w:t>
      </w:r>
    </w:p>
    <w:p w14:paraId="74A5BC8D">
      <w:pPr>
        <w:widowControl w:val="0"/>
        <w:numPr>
          <w:ilvl w:val="0"/>
          <w:numId w:val="9"/>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可选显示AIS目标船舶的关键信息（航向、航速、船名、MMSI等）和ARPA跟踪预测信息。</w:t>
      </w:r>
    </w:p>
    <w:p w14:paraId="72E6AB01">
      <w:pPr>
        <w:widowControl w:val="0"/>
        <w:numPr>
          <w:ilvl w:val="0"/>
          <w:numId w:val="9"/>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支持叠加显示自定义GIS要素，如电子围栏、风险区域等。</w:t>
      </w:r>
    </w:p>
    <w:p w14:paraId="62154BC1">
      <w:pPr>
        <w:widowControl w:val="0"/>
        <w:numPr>
          <w:ilvl w:val="0"/>
          <w:numId w:val="9"/>
        </w:numPr>
        <w:spacing w:after="0" w:line="360" w:lineRule="auto"/>
        <w:ind w:left="0" w:firstLine="480" w:firstLineChars="2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0"/>
          <w:lang w:eastAsia="zh-CN"/>
        </w:rPr>
        <w:t>可叠加显示潮汐</w:t>
      </w:r>
      <w:r>
        <w:rPr>
          <w:rFonts w:ascii="Times New Roman" w:hAnsi="Times New Roman" w:eastAsia="宋体" w:cs="Times New Roman"/>
          <w:kern w:val="2"/>
          <w:sz w:val="24"/>
          <w:szCs w:val="24"/>
          <w:lang w:eastAsia="zh-CN"/>
        </w:rPr>
        <w:t>、海流、气象信息以及海道测量局发布的临时通告（AIO等）。</w:t>
      </w:r>
    </w:p>
    <w:p w14:paraId="235D8515">
      <w:pPr>
        <w:keepNext/>
        <w:keepLines/>
        <w:widowControl w:val="0"/>
        <w:numPr>
          <w:ilvl w:val="1"/>
          <w:numId w:val="7"/>
        </w:numPr>
        <w:tabs>
          <w:tab w:val="left" w:pos="616"/>
        </w:tabs>
        <w:spacing w:after="0" w:line="360" w:lineRule="auto"/>
        <w:jc w:val="both"/>
        <w:outlineLvl w:val="1"/>
        <w:rPr>
          <w:rFonts w:hint="eastAsia" w:ascii="黑体" w:hAnsi="黑体" w:eastAsia="黑体" w:cs="Times New Roman"/>
          <w:bCs/>
          <w:kern w:val="2"/>
          <w:sz w:val="24"/>
          <w:szCs w:val="32"/>
          <w:lang w:eastAsia="zh-CN"/>
        </w:rPr>
      </w:pPr>
      <w:r>
        <w:rPr>
          <w:rFonts w:hint="eastAsia" w:ascii="黑体" w:hAnsi="黑体" w:eastAsia="黑体" w:cs="Times New Roman"/>
          <w:bCs/>
          <w:kern w:val="2"/>
          <w:sz w:val="24"/>
          <w:szCs w:val="32"/>
          <w:lang w:eastAsia="zh-CN"/>
        </w:rPr>
        <w:t>航线规划</w:t>
      </w:r>
    </w:p>
    <w:p w14:paraId="762D646D">
      <w:pPr>
        <w:widowControl w:val="0"/>
        <w:numPr>
          <w:ilvl w:val="0"/>
          <w:numId w:val="10"/>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支持手动或自动航线设计，允许灵活地添加、删除、拖动、排序航向点和航段。</w:t>
      </w:r>
    </w:p>
    <w:p w14:paraId="66BE5003">
      <w:pPr>
        <w:widowControl w:val="0"/>
        <w:numPr>
          <w:ilvl w:val="0"/>
          <w:numId w:val="10"/>
        </w:numPr>
        <w:spacing w:after="0" w:line="360" w:lineRule="auto"/>
        <w:ind w:left="0" w:firstLine="480" w:firstLineChars="2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0"/>
          <w:lang w:eastAsia="zh-CN"/>
        </w:rPr>
        <w:t>自动执行航线安全</w:t>
      </w:r>
      <w:r>
        <w:rPr>
          <w:rFonts w:ascii="Times New Roman" w:hAnsi="Times New Roman" w:eastAsia="宋体" w:cs="Times New Roman"/>
          <w:kern w:val="2"/>
          <w:sz w:val="24"/>
          <w:szCs w:val="24"/>
          <w:lang w:eastAsia="zh-CN"/>
        </w:rPr>
        <w:t>检查，在规划阶段提示航线段是否穿过浅水、禁航区或接近危险物。</w:t>
      </w:r>
    </w:p>
    <w:p w14:paraId="6FDA530B">
      <w:pPr>
        <w:widowControl w:val="0"/>
        <w:numPr>
          <w:ilvl w:val="0"/>
          <w:numId w:val="10"/>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4"/>
          <w:lang w:eastAsia="zh-CN"/>
        </w:rPr>
        <w:t>允许用户为航线</w:t>
      </w:r>
      <w:r>
        <w:rPr>
          <w:rFonts w:ascii="Times New Roman" w:hAnsi="Times New Roman" w:eastAsia="宋体" w:cs="Times New Roman"/>
          <w:kern w:val="2"/>
          <w:sz w:val="24"/>
          <w:szCs w:val="20"/>
          <w:lang w:eastAsia="zh-CN"/>
        </w:rPr>
        <w:t>设定安全参数，包括吃水、安全等深线、偏航阈值（XTD）、船舶尺寸等。</w:t>
      </w:r>
    </w:p>
    <w:p w14:paraId="4435F9D5">
      <w:pPr>
        <w:widowControl w:val="0"/>
        <w:numPr>
          <w:ilvl w:val="0"/>
          <w:numId w:val="10"/>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具备航行计算能力，包括两个地理位置间的真距离和方位、航行时间估算</w:t>
      </w:r>
      <w:r>
        <w:rPr>
          <w:rFonts w:hint="eastAsia" w:ascii="Times New Roman" w:hAnsi="Times New Roman" w:eastAsia="宋体" w:cs="Times New Roman"/>
          <w:kern w:val="2"/>
          <w:sz w:val="24"/>
          <w:szCs w:val="20"/>
          <w:lang w:eastAsia="zh-CN"/>
        </w:rPr>
        <w:t>（</w:t>
      </w:r>
      <w:r>
        <w:rPr>
          <w:rFonts w:ascii="Times New Roman" w:hAnsi="Times New Roman" w:eastAsia="宋体" w:cs="Times New Roman"/>
          <w:kern w:val="2"/>
          <w:sz w:val="24"/>
          <w:szCs w:val="20"/>
          <w:lang w:eastAsia="zh-CN"/>
        </w:rPr>
        <w:t>ETA</w:t>
      </w:r>
      <w:r>
        <w:rPr>
          <w:rFonts w:hint="eastAsia" w:ascii="Times New Roman" w:hAnsi="Times New Roman" w:eastAsia="宋体" w:cs="Times New Roman"/>
          <w:kern w:val="2"/>
          <w:sz w:val="24"/>
          <w:szCs w:val="20"/>
          <w:lang w:eastAsia="zh-CN"/>
        </w:rPr>
        <w:t>）</w:t>
      </w:r>
      <w:r>
        <w:rPr>
          <w:rFonts w:ascii="Times New Roman" w:hAnsi="Times New Roman" w:eastAsia="宋体" w:cs="Times New Roman"/>
          <w:kern w:val="2"/>
          <w:sz w:val="24"/>
          <w:szCs w:val="20"/>
          <w:lang w:eastAsia="zh-CN"/>
        </w:rPr>
        <w:t>。</w:t>
      </w:r>
    </w:p>
    <w:p w14:paraId="4075F011">
      <w:pPr>
        <w:widowControl w:val="0"/>
        <w:numPr>
          <w:ilvl w:val="0"/>
          <w:numId w:val="10"/>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实时叠加船舶位置（基于GPS/DGPS），连续监控船舶是否严格按照计划航线行驶。</w:t>
      </w:r>
    </w:p>
    <w:p w14:paraId="66EA0273">
      <w:pPr>
        <w:widowControl w:val="0"/>
        <w:numPr>
          <w:ilvl w:val="0"/>
          <w:numId w:val="10"/>
        </w:numPr>
        <w:spacing w:after="0" w:line="360" w:lineRule="auto"/>
        <w:ind w:left="0" w:firstLine="480" w:firstLineChars="2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0"/>
          <w:lang w:eastAsia="zh-CN"/>
        </w:rPr>
        <w:t>具备连续记录并存储历史航迹、船位、速度、航向和报警事件的能力，用于航后分析和VDR备份</w:t>
      </w:r>
      <w:r>
        <w:rPr>
          <w:rFonts w:ascii="Times New Roman" w:hAnsi="Times New Roman" w:eastAsia="宋体" w:cs="Times New Roman"/>
          <w:kern w:val="2"/>
          <w:sz w:val="24"/>
          <w:szCs w:val="24"/>
          <w:lang w:eastAsia="zh-CN"/>
        </w:rPr>
        <w:t>。</w:t>
      </w:r>
    </w:p>
    <w:p w14:paraId="321BD29C">
      <w:pPr>
        <w:keepNext/>
        <w:keepLines/>
        <w:widowControl w:val="0"/>
        <w:numPr>
          <w:ilvl w:val="1"/>
          <w:numId w:val="7"/>
        </w:numPr>
        <w:tabs>
          <w:tab w:val="left" w:pos="616"/>
        </w:tabs>
        <w:spacing w:after="0" w:line="360" w:lineRule="auto"/>
        <w:jc w:val="both"/>
        <w:outlineLvl w:val="1"/>
        <w:rPr>
          <w:rFonts w:hint="eastAsia" w:ascii="黑体" w:hAnsi="黑体" w:eastAsia="黑体" w:cs="Times New Roman"/>
          <w:bCs/>
          <w:kern w:val="2"/>
          <w:sz w:val="24"/>
          <w:szCs w:val="32"/>
          <w:lang w:eastAsia="zh-CN"/>
        </w:rPr>
      </w:pPr>
      <w:bookmarkStart w:id="3" w:name="_Toc24127"/>
      <w:bookmarkStart w:id="4" w:name="_Toc23228"/>
      <w:r>
        <w:rPr>
          <w:rFonts w:hint="eastAsia" w:ascii="黑体" w:hAnsi="黑体" w:eastAsia="黑体" w:cs="Times New Roman"/>
          <w:bCs/>
          <w:kern w:val="2"/>
          <w:sz w:val="24"/>
          <w:szCs w:val="32"/>
          <w:lang w:eastAsia="zh-CN"/>
        </w:rPr>
        <w:t>安全等深线与水深告警</w:t>
      </w:r>
      <w:bookmarkEnd w:id="3"/>
      <w:bookmarkEnd w:id="4"/>
    </w:p>
    <w:p w14:paraId="1C635054">
      <w:pPr>
        <w:widowControl w:val="0"/>
        <w:numPr>
          <w:ilvl w:val="0"/>
          <w:numId w:val="11"/>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允许用户输入船舶吃水和富裕水深，系统自动计算并设置安全等深线和安全轮廓线。</w:t>
      </w:r>
    </w:p>
    <w:p w14:paraId="02FFE70E">
      <w:pPr>
        <w:widowControl w:val="0"/>
        <w:numPr>
          <w:ilvl w:val="0"/>
          <w:numId w:val="11"/>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在海图上突出显示浅于安全等深线的水域（通常为蓝色），将安全水域显示为白色或其他安全色。</w:t>
      </w:r>
    </w:p>
    <w:p w14:paraId="0F7BEB82">
      <w:pPr>
        <w:widowControl w:val="0"/>
        <w:numPr>
          <w:ilvl w:val="0"/>
          <w:numId w:val="11"/>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当本船或其安全轮廓线即将进入不安全水域时，系统需立即发出声光告警（防搁浅告警）。</w:t>
      </w:r>
    </w:p>
    <w:p w14:paraId="34F41593">
      <w:pPr>
        <w:widowControl w:val="0"/>
        <w:numPr>
          <w:ilvl w:val="0"/>
          <w:numId w:val="11"/>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当船舶即将穿越或进入预设的禁航区、限航区、港口报告区、或自定义电子围栏时，立即报警。</w:t>
      </w:r>
    </w:p>
    <w:p w14:paraId="40936A3F">
      <w:pPr>
        <w:widowControl w:val="0"/>
        <w:numPr>
          <w:ilvl w:val="0"/>
          <w:numId w:val="11"/>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在船舶运动方向上，预测船舶未来安全矢量将接近孤立危险物或未知的浅水区时，触发报警。</w:t>
      </w:r>
    </w:p>
    <w:p w14:paraId="4772BBB1">
      <w:pPr>
        <w:widowControl w:val="0"/>
        <w:numPr>
          <w:ilvl w:val="0"/>
          <w:numId w:val="11"/>
        </w:numPr>
        <w:spacing w:after="0" w:line="360" w:lineRule="auto"/>
        <w:ind w:left="0" w:firstLine="480" w:firstLineChars="2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0"/>
          <w:lang w:eastAsia="zh-CN"/>
        </w:rPr>
        <w:t>根据AIS/雷达目标数据，提供CPA/TCPA（最近会遇点/时间计算</w:t>
      </w:r>
      <w:r>
        <w:rPr>
          <w:rFonts w:hint="eastAsia" w:ascii="Times New Roman" w:hAnsi="Times New Roman" w:eastAsia="宋体" w:cs="Times New Roman"/>
          <w:kern w:val="2"/>
          <w:sz w:val="24"/>
          <w:szCs w:val="20"/>
          <w:lang w:eastAsia="zh-CN"/>
        </w:rPr>
        <w:t>）</w:t>
      </w:r>
      <w:r>
        <w:rPr>
          <w:rFonts w:ascii="Times New Roman" w:hAnsi="Times New Roman" w:eastAsia="宋体" w:cs="Times New Roman"/>
          <w:kern w:val="2"/>
          <w:sz w:val="24"/>
          <w:szCs w:val="20"/>
          <w:lang w:eastAsia="zh-CN"/>
        </w:rPr>
        <w:t>，并在风险超过阈值时触发碰撞</w:t>
      </w:r>
      <w:r>
        <w:rPr>
          <w:rFonts w:ascii="Times New Roman" w:hAnsi="Times New Roman" w:eastAsia="宋体" w:cs="Times New Roman"/>
          <w:kern w:val="2"/>
          <w:sz w:val="24"/>
          <w:szCs w:val="24"/>
          <w:lang w:eastAsia="zh-CN"/>
        </w:rPr>
        <w:t>预警。</w:t>
      </w:r>
    </w:p>
    <w:p w14:paraId="2060CBBE">
      <w:pPr>
        <w:keepNext/>
        <w:keepLines/>
        <w:widowControl w:val="0"/>
        <w:numPr>
          <w:ilvl w:val="1"/>
          <w:numId w:val="7"/>
        </w:numPr>
        <w:tabs>
          <w:tab w:val="left" w:pos="616"/>
        </w:tabs>
        <w:spacing w:after="0" w:line="360" w:lineRule="auto"/>
        <w:jc w:val="both"/>
        <w:outlineLvl w:val="1"/>
        <w:rPr>
          <w:rFonts w:hint="eastAsia" w:ascii="黑体" w:hAnsi="黑体" w:eastAsia="黑体" w:cs="Times New Roman"/>
          <w:bCs/>
          <w:kern w:val="2"/>
          <w:sz w:val="24"/>
          <w:szCs w:val="32"/>
          <w:lang w:eastAsia="zh-CN"/>
        </w:rPr>
      </w:pPr>
      <w:r>
        <w:rPr>
          <w:rFonts w:hint="eastAsia" w:ascii="黑体" w:hAnsi="黑体" w:eastAsia="黑体" w:cs="Times New Roman"/>
          <w:bCs/>
          <w:kern w:val="2"/>
          <w:sz w:val="24"/>
          <w:szCs w:val="32"/>
          <w:lang w:eastAsia="zh-CN"/>
        </w:rPr>
        <w:t>航行监控导航与安全预警</w:t>
      </w:r>
    </w:p>
    <w:p w14:paraId="2664A496">
      <w:pPr>
        <w:widowControl w:val="0"/>
        <w:numPr>
          <w:ilvl w:val="0"/>
          <w:numId w:val="12"/>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当船舶实时位置偏离计划航线超过设定的偏航阈值</w:t>
      </w:r>
      <w:r>
        <w:rPr>
          <w:rFonts w:hint="eastAsia" w:ascii="Times New Roman" w:hAnsi="Times New Roman" w:eastAsia="宋体" w:cs="Times New Roman"/>
          <w:kern w:val="2"/>
          <w:sz w:val="24"/>
          <w:szCs w:val="20"/>
          <w:lang w:eastAsia="zh-CN"/>
        </w:rPr>
        <w:t>（</w:t>
      </w:r>
      <w:r>
        <w:rPr>
          <w:rFonts w:ascii="Times New Roman" w:hAnsi="Times New Roman" w:eastAsia="宋体" w:cs="Times New Roman"/>
          <w:kern w:val="2"/>
          <w:sz w:val="24"/>
          <w:szCs w:val="20"/>
          <w:lang w:eastAsia="zh-CN"/>
        </w:rPr>
        <w:t>XTD</w:t>
      </w:r>
      <w:r>
        <w:rPr>
          <w:rFonts w:hint="eastAsia" w:ascii="Times New Roman" w:hAnsi="Times New Roman" w:eastAsia="宋体" w:cs="Times New Roman"/>
          <w:kern w:val="2"/>
          <w:sz w:val="24"/>
          <w:szCs w:val="20"/>
          <w:lang w:eastAsia="zh-CN"/>
        </w:rPr>
        <w:t>）</w:t>
      </w:r>
      <w:r>
        <w:rPr>
          <w:rFonts w:ascii="Times New Roman" w:hAnsi="Times New Roman" w:eastAsia="宋体" w:cs="Times New Roman"/>
          <w:kern w:val="2"/>
          <w:sz w:val="24"/>
          <w:szCs w:val="20"/>
          <w:lang w:eastAsia="zh-CN"/>
        </w:rPr>
        <w:t>时，立即发出告警。</w:t>
      </w:r>
    </w:p>
    <w:p w14:paraId="23D17A53">
      <w:pPr>
        <w:widowControl w:val="0"/>
        <w:numPr>
          <w:ilvl w:val="0"/>
          <w:numId w:val="12"/>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对传感器故障（如GPS信号丢失、陀螺罗经数据异常）、海图更新延迟、电源切换等系统级故障发出告警。</w:t>
      </w:r>
    </w:p>
    <w:p w14:paraId="1AB93D2C">
      <w:pPr>
        <w:widowControl w:val="0"/>
        <w:numPr>
          <w:ilvl w:val="0"/>
          <w:numId w:val="12"/>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遵循IMO/IHO规范，对报警进行优先级分类（紧急、警报、指示），并采用不同声光模式。</w:t>
      </w:r>
    </w:p>
    <w:p w14:paraId="55F941A4">
      <w:pPr>
        <w:widowControl w:val="0"/>
        <w:numPr>
          <w:ilvl w:val="0"/>
          <w:numId w:val="12"/>
        </w:numPr>
        <w:spacing w:after="0" w:line="360" w:lineRule="auto"/>
        <w:ind w:left="0" w:firstLine="480" w:firstLineChars="2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0"/>
          <w:lang w:eastAsia="zh-CN"/>
        </w:rPr>
        <w:t>提供告警/预警信息</w:t>
      </w:r>
      <w:r>
        <w:rPr>
          <w:rFonts w:ascii="Times New Roman" w:hAnsi="Times New Roman" w:eastAsia="宋体" w:cs="Times New Roman"/>
          <w:kern w:val="2"/>
          <w:sz w:val="24"/>
          <w:szCs w:val="24"/>
          <w:lang w:eastAsia="zh-CN"/>
        </w:rPr>
        <w:t>列表，允许船员确认、消除告警。</w:t>
      </w:r>
    </w:p>
    <w:p w14:paraId="33F83CF5">
      <w:pPr>
        <w:keepNext/>
        <w:keepLines/>
        <w:widowControl w:val="0"/>
        <w:numPr>
          <w:ilvl w:val="1"/>
          <w:numId w:val="7"/>
        </w:numPr>
        <w:tabs>
          <w:tab w:val="left" w:pos="616"/>
        </w:tabs>
        <w:spacing w:after="0" w:line="360" w:lineRule="auto"/>
        <w:jc w:val="both"/>
        <w:outlineLvl w:val="1"/>
        <w:rPr>
          <w:rFonts w:hint="eastAsia" w:ascii="黑体" w:hAnsi="黑体" w:eastAsia="黑体" w:cs="Times New Roman"/>
          <w:bCs/>
          <w:kern w:val="2"/>
          <w:sz w:val="24"/>
          <w:szCs w:val="32"/>
          <w:lang w:eastAsia="zh-CN"/>
        </w:rPr>
      </w:pPr>
      <w:bookmarkStart w:id="5" w:name="_Toc15215"/>
      <w:bookmarkStart w:id="6" w:name="_Toc17967"/>
      <w:r>
        <w:rPr>
          <w:rFonts w:hint="eastAsia" w:ascii="黑体" w:hAnsi="黑体" w:eastAsia="黑体" w:cs="Times New Roman"/>
          <w:bCs/>
          <w:kern w:val="2"/>
          <w:sz w:val="24"/>
          <w:szCs w:val="32"/>
          <w:lang w:eastAsia="zh-CN"/>
        </w:rPr>
        <w:t>个性化设置需求</w:t>
      </w:r>
      <w:bookmarkEnd w:id="5"/>
      <w:bookmarkEnd w:id="6"/>
    </w:p>
    <w:p w14:paraId="539FED9D">
      <w:pPr>
        <w:widowControl w:val="0"/>
        <w:numPr>
          <w:ilvl w:val="0"/>
          <w:numId w:val="13"/>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提供直观的图形化界面，菜单层级简洁明了，支持常用功能快捷键访问。</w:t>
      </w:r>
    </w:p>
    <w:p w14:paraId="63F95C5D">
      <w:pPr>
        <w:widowControl w:val="0"/>
        <w:numPr>
          <w:ilvl w:val="0"/>
          <w:numId w:val="13"/>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软件界面需适配高分辨率显示，支持通过软件指令调节背景亮度以适应夜间模式。</w:t>
      </w:r>
    </w:p>
    <w:p w14:paraId="0CAEB1EA">
      <w:pPr>
        <w:widowControl w:val="0"/>
        <w:numPr>
          <w:ilvl w:val="0"/>
          <w:numId w:val="13"/>
        </w:numPr>
        <w:spacing w:after="0" w:line="360" w:lineRule="auto"/>
        <w:ind w:left="0" w:firstLine="480" w:firstLineChars="2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0"/>
          <w:lang w:eastAsia="zh-CN"/>
        </w:rPr>
        <w:t>对删除航线、修改安全参数等重要操作，需弹出确认对话框，要求船员进行二次确认，防止误操</w:t>
      </w:r>
      <w:r>
        <w:rPr>
          <w:rFonts w:ascii="Times New Roman" w:hAnsi="Times New Roman" w:eastAsia="宋体" w:cs="Times New Roman"/>
          <w:kern w:val="2"/>
          <w:sz w:val="24"/>
          <w:szCs w:val="24"/>
          <w:lang w:eastAsia="zh-CN"/>
        </w:rPr>
        <w:t>作。</w:t>
      </w:r>
    </w:p>
    <w:p w14:paraId="455F28BB">
      <w:pPr>
        <w:keepNext/>
        <w:keepLines/>
        <w:widowControl w:val="0"/>
        <w:numPr>
          <w:ilvl w:val="1"/>
          <w:numId w:val="7"/>
        </w:numPr>
        <w:tabs>
          <w:tab w:val="left" w:pos="616"/>
        </w:tabs>
        <w:spacing w:after="0" w:line="360" w:lineRule="auto"/>
        <w:jc w:val="both"/>
        <w:outlineLvl w:val="1"/>
        <w:rPr>
          <w:rFonts w:hint="eastAsia" w:ascii="黑体" w:hAnsi="黑体" w:eastAsia="黑体" w:cs="Times New Roman"/>
          <w:bCs/>
          <w:kern w:val="2"/>
          <w:sz w:val="24"/>
          <w:szCs w:val="32"/>
          <w:lang w:eastAsia="zh-CN"/>
        </w:rPr>
      </w:pPr>
      <w:r>
        <w:rPr>
          <w:rFonts w:hint="eastAsia" w:ascii="黑体" w:hAnsi="黑体" w:eastAsia="黑体" w:cs="Times New Roman"/>
          <w:bCs/>
          <w:kern w:val="2"/>
          <w:sz w:val="24"/>
          <w:szCs w:val="32"/>
          <w:lang w:eastAsia="zh-CN"/>
        </w:rPr>
        <w:t>基础平台与架构要求</w:t>
      </w:r>
    </w:p>
    <w:p w14:paraId="4F65EDA3">
      <w:pPr>
        <w:widowControl w:val="0"/>
        <w:numPr>
          <w:ilvl w:val="0"/>
          <w:numId w:val="14"/>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跨平台兼容性：软件必须支持跨架构与跨操作系统部署，具体包括硬件平台（龙芯、飞腾、瑞芯微）和操作系统（麒麟、</w:t>
      </w:r>
      <w:r>
        <w:rPr>
          <w:rFonts w:hint="eastAsia" w:ascii="Times New Roman" w:hAnsi="Times New Roman" w:eastAsia="宋体" w:cs="Times New Roman"/>
          <w:kern w:val="2"/>
          <w:sz w:val="24"/>
          <w:szCs w:val="20"/>
          <w:lang w:eastAsia="zh-CN"/>
        </w:rPr>
        <w:t>Ubuntu</w:t>
      </w:r>
      <w:r>
        <w:rPr>
          <w:rFonts w:ascii="Times New Roman" w:hAnsi="Times New Roman" w:eastAsia="宋体" w:cs="Times New Roman"/>
          <w:kern w:val="2"/>
          <w:sz w:val="24"/>
          <w:szCs w:val="20"/>
          <w:lang w:eastAsia="zh-CN"/>
        </w:rPr>
        <w:t>），并保证长期稳定运行。</w:t>
      </w:r>
    </w:p>
    <w:p w14:paraId="57172DDA">
      <w:pPr>
        <w:widowControl w:val="0"/>
        <w:numPr>
          <w:ilvl w:val="0"/>
          <w:numId w:val="14"/>
        </w:numPr>
        <w:spacing w:after="0" w:line="360" w:lineRule="auto"/>
        <w:ind w:left="0" w:firstLine="480" w:firstLineChars="200"/>
        <w:jc w:val="both"/>
        <w:rPr>
          <w:rFonts w:ascii="Times New Roman" w:hAnsi="Times New Roman" w:eastAsia="宋体" w:cs="Times New Roman"/>
          <w:kern w:val="2"/>
          <w:sz w:val="28"/>
          <w:szCs w:val="20"/>
          <w:lang w:eastAsia="zh-CN"/>
        </w:rPr>
      </w:pPr>
      <w:r>
        <w:rPr>
          <w:rFonts w:ascii="Times New Roman" w:hAnsi="Times New Roman" w:eastAsia="宋体" w:cs="Times New Roman"/>
          <w:kern w:val="2"/>
          <w:sz w:val="24"/>
          <w:szCs w:val="20"/>
          <w:lang w:eastAsia="zh-CN"/>
        </w:rPr>
        <w:t>多设备协同：软件架构需支持多台设备按优先级运行</w:t>
      </w:r>
      <w:r>
        <w:rPr>
          <w:rFonts w:hint="eastAsia" w:ascii="Times New Roman" w:hAnsi="Times New Roman" w:eastAsia="宋体" w:cs="Times New Roman"/>
          <w:kern w:val="2"/>
          <w:sz w:val="24"/>
          <w:szCs w:val="20"/>
          <w:lang w:eastAsia="zh-CN"/>
        </w:rPr>
        <w:t>。</w:t>
      </w:r>
    </w:p>
    <w:p w14:paraId="23832C07">
      <w:pPr>
        <w:widowControl w:val="0"/>
        <w:numPr>
          <w:ilvl w:val="0"/>
          <w:numId w:val="14"/>
        </w:numPr>
        <w:spacing w:after="0" w:line="360" w:lineRule="auto"/>
        <w:ind w:left="0" w:firstLine="480" w:firstLineChars="200"/>
        <w:jc w:val="both"/>
        <w:rPr>
          <w:rFonts w:ascii="Times New Roman" w:hAnsi="Times New Roman" w:eastAsia="宋体" w:cs="Times New Roman"/>
          <w:kern w:val="2"/>
          <w:sz w:val="28"/>
          <w:szCs w:val="20"/>
          <w:lang w:eastAsia="zh-CN"/>
        </w:rPr>
      </w:pPr>
      <w:r>
        <w:rPr>
          <w:rFonts w:ascii="Times New Roman" w:hAnsi="Times New Roman" w:eastAsia="宋体" w:cs="Times New Roman"/>
          <w:kern w:val="2"/>
          <w:sz w:val="24"/>
          <w:szCs w:val="20"/>
          <w:lang w:eastAsia="zh-CN"/>
        </w:rPr>
        <w:t>采用模块化软件架构，预留标准数据接口，支持后续接入新型号导航传感器或功能模块</w:t>
      </w:r>
      <w:r>
        <w:rPr>
          <w:rFonts w:hint="eastAsia" w:ascii="Times New Roman" w:hAnsi="Times New Roman" w:eastAsia="宋体" w:cs="Times New Roman"/>
          <w:kern w:val="2"/>
          <w:sz w:val="24"/>
          <w:szCs w:val="20"/>
          <w:lang w:eastAsia="zh-CN"/>
        </w:rPr>
        <w:t>。</w:t>
      </w:r>
    </w:p>
    <w:p w14:paraId="16848109">
      <w:pPr>
        <w:keepNext/>
        <w:keepLines/>
        <w:widowControl w:val="0"/>
        <w:numPr>
          <w:ilvl w:val="1"/>
          <w:numId w:val="7"/>
        </w:numPr>
        <w:tabs>
          <w:tab w:val="left" w:pos="616"/>
        </w:tabs>
        <w:spacing w:after="0" w:line="360" w:lineRule="auto"/>
        <w:jc w:val="both"/>
        <w:outlineLvl w:val="1"/>
        <w:rPr>
          <w:rFonts w:hint="eastAsia" w:ascii="黑体" w:hAnsi="黑体" w:eastAsia="黑体" w:cs="Times New Roman"/>
          <w:bCs/>
          <w:kern w:val="2"/>
          <w:sz w:val="24"/>
          <w:szCs w:val="32"/>
          <w:lang w:eastAsia="zh-CN"/>
        </w:rPr>
      </w:pPr>
      <w:bookmarkStart w:id="7" w:name="_Toc7906"/>
      <w:bookmarkStart w:id="8" w:name="_Toc20834"/>
      <w:r>
        <w:rPr>
          <w:rFonts w:hint="eastAsia" w:ascii="黑体" w:hAnsi="黑体" w:eastAsia="黑体" w:cs="Times New Roman"/>
          <w:bCs/>
          <w:kern w:val="2"/>
          <w:sz w:val="24"/>
          <w:szCs w:val="32"/>
          <w:lang w:eastAsia="zh-CN"/>
        </w:rPr>
        <w:t>数据维护与合规</w:t>
      </w:r>
      <w:bookmarkEnd w:id="7"/>
      <w:bookmarkEnd w:id="8"/>
    </w:p>
    <w:p w14:paraId="06E223C3">
      <w:pPr>
        <w:widowControl w:val="0"/>
        <w:numPr>
          <w:ilvl w:val="0"/>
          <w:numId w:val="15"/>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4"/>
          <w:lang w:eastAsia="zh-CN"/>
        </w:rPr>
        <w:t>具备接收</w:t>
      </w:r>
      <w:r>
        <w:rPr>
          <w:rFonts w:ascii="Times New Roman" w:hAnsi="Times New Roman" w:eastAsia="宋体" w:cs="Times New Roman"/>
          <w:kern w:val="2"/>
          <w:sz w:val="24"/>
          <w:szCs w:val="20"/>
          <w:lang w:eastAsia="zh-CN"/>
        </w:rPr>
        <w:t>、解析和应用官方发布的S-63加密格式海图更新数据的能力，并生成更新记录。</w:t>
      </w:r>
    </w:p>
    <w:p w14:paraId="7252744B">
      <w:pPr>
        <w:widowControl w:val="0"/>
        <w:numPr>
          <w:ilvl w:val="0"/>
          <w:numId w:val="15"/>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定期自动备份系统内部存储结构</w:t>
      </w:r>
      <w:r>
        <w:rPr>
          <w:rFonts w:hint="eastAsia" w:ascii="Times New Roman" w:hAnsi="Times New Roman" w:eastAsia="宋体" w:cs="Times New Roman"/>
          <w:kern w:val="2"/>
          <w:sz w:val="24"/>
          <w:szCs w:val="20"/>
          <w:lang w:eastAsia="zh-CN"/>
        </w:rPr>
        <w:t>（</w:t>
      </w:r>
      <w:r>
        <w:rPr>
          <w:rFonts w:ascii="Times New Roman" w:hAnsi="Times New Roman" w:eastAsia="宋体" w:cs="Times New Roman"/>
          <w:kern w:val="2"/>
          <w:sz w:val="24"/>
          <w:szCs w:val="20"/>
          <w:lang w:eastAsia="zh-CN"/>
        </w:rPr>
        <w:t>SENC</w:t>
      </w:r>
      <w:r>
        <w:rPr>
          <w:rFonts w:hint="eastAsia" w:ascii="Times New Roman" w:hAnsi="Times New Roman" w:eastAsia="宋体" w:cs="Times New Roman"/>
          <w:kern w:val="2"/>
          <w:sz w:val="24"/>
          <w:szCs w:val="20"/>
          <w:lang w:eastAsia="zh-CN"/>
        </w:rPr>
        <w:t>）</w:t>
      </w:r>
      <w:r>
        <w:rPr>
          <w:rFonts w:ascii="Times New Roman" w:hAnsi="Times New Roman" w:eastAsia="宋体" w:cs="Times New Roman"/>
          <w:kern w:val="2"/>
          <w:sz w:val="24"/>
          <w:szCs w:val="20"/>
          <w:lang w:eastAsia="zh-CN"/>
        </w:rPr>
        <w:t>和所有航行记录，确保数据安全。</w:t>
      </w:r>
    </w:p>
    <w:p w14:paraId="4422B675">
      <w:pPr>
        <w:widowControl w:val="0"/>
        <w:numPr>
          <w:ilvl w:val="0"/>
          <w:numId w:val="15"/>
        </w:numPr>
        <w:spacing w:after="0" w:line="360" w:lineRule="auto"/>
        <w:ind w:left="0" w:firstLine="480" w:firstLineChars="200"/>
        <w:jc w:val="both"/>
        <w:rPr>
          <w:rFonts w:ascii="Times New Roman" w:hAnsi="Times New Roman" w:eastAsia="宋体" w:cs="Times New Roman"/>
          <w:kern w:val="2"/>
          <w:sz w:val="24"/>
          <w:szCs w:val="20"/>
          <w:lang w:eastAsia="zh-CN"/>
        </w:rPr>
      </w:pPr>
      <w:r>
        <w:rPr>
          <w:rFonts w:ascii="Times New Roman" w:hAnsi="Times New Roman" w:eastAsia="宋体" w:cs="Times New Roman"/>
          <w:kern w:val="2"/>
          <w:sz w:val="24"/>
          <w:szCs w:val="20"/>
          <w:lang w:eastAsia="zh-CN"/>
        </w:rPr>
        <w:t>软件接口需遵循NMEA0183/2000协议与船载设备进行数据通信。</w:t>
      </w:r>
    </w:p>
    <w:p w14:paraId="6153B611">
      <w:pPr>
        <w:keepNext/>
        <w:keepLines/>
        <w:widowControl w:val="0"/>
        <w:numPr>
          <w:ilvl w:val="0"/>
          <w:numId w:val="7"/>
        </w:numPr>
        <w:tabs>
          <w:tab w:val="left" w:pos="420"/>
        </w:tabs>
        <w:spacing w:before="190" w:beforeLines="50" w:after="0" w:line="360" w:lineRule="auto"/>
        <w:ind w:left="431" w:hanging="431"/>
        <w:jc w:val="both"/>
        <w:outlineLvl w:val="0"/>
        <w:rPr>
          <w:rFonts w:hint="eastAsia" w:ascii="黑体" w:hAnsi="黑体" w:eastAsia="黑体" w:cs="Times New Roman"/>
          <w:bCs/>
          <w:kern w:val="2"/>
          <w:sz w:val="24"/>
          <w:szCs w:val="32"/>
          <w:lang w:eastAsia="zh-CN"/>
        </w:rPr>
      </w:pPr>
      <w:bookmarkStart w:id="9" w:name="_Toc216690488"/>
      <w:r>
        <w:rPr>
          <w:rFonts w:hint="eastAsia" w:ascii="黑体" w:hAnsi="黑体" w:eastAsia="黑体" w:cs="Times New Roman"/>
          <w:bCs/>
          <w:kern w:val="2"/>
          <w:sz w:val="24"/>
          <w:szCs w:val="32"/>
          <w:lang w:eastAsia="zh-CN"/>
        </w:rPr>
        <w:t>性能要求</w:t>
      </w:r>
      <w:bookmarkEnd w:id="9"/>
    </w:p>
    <w:p w14:paraId="64C03698">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1）一般操作响应时间（数据查阅、图表显示等操作）：＜2s；</w:t>
      </w:r>
    </w:p>
    <w:p w14:paraId="781CCFF7">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2）系统初始化时间：＜10s；</w:t>
      </w:r>
    </w:p>
    <w:p w14:paraId="6C97C046">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3）一般数据查询时间：＜5s；</w:t>
      </w:r>
    </w:p>
    <w:p w14:paraId="641B059C">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4）一般数据汇总时间：&lt;10s；</w:t>
      </w:r>
    </w:p>
    <w:p w14:paraId="0788F66B">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5）指令响应率：100%；</w:t>
      </w:r>
    </w:p>
    <w:p w14:paraId="518DC241">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6）系统服务稳定性：99%；</w:t>
      </w:r>
    </w:p>
    <w:p w14:paraId="410DFDDE">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7）特殊操作超过该时间则需要给予用户明确的等待时间或进度条提示。</w:t>
      </w:r>
    </w:p>
    <w:p w14:paraId="6354E753">
      <w:pPr>
        <w:keepNext/>
        <w:keepLines/>
        <w:widowControl w:val="0"/>
        <w:numPr>
          <w:ilvl w:val="0"/>
          <w:numId w:val="7"/>
        </w:numPr>
        <w:tabs>
          <w:tab w:val="left" w:pos="420"/>
        </w:tabs>
        <w:spacing w:before="190" w:beforeLines="50" w:after="0" w:line="360" w:lineRule="auto"/>
        <w:ind w:left="431" w:hanging="431"/>
        <w:jc w:val="both"/>
        <w:outlineLvl w:val="0"/>
        <w:rPr>
          <w:rFonts w:hint="eastAsia" w:ascii="黑体" w:hAnsi="黑体" w:eastAsia="黑体" w:cs="Times New Roman"/>
          <w:bCs/>
          <w:kern w:val="2"/>
          <w:sz w:val="24"/>
          <w:szCs w:val="32"/>
          <w:lang w:eastAsia="zh-CN"/>
        </w:rPr>
      </w:pPr>
      <w:bookmarkStart w:id="10" w:name="_Toc204693820"/>
      <w:bookmarkStart w:id="11" w:name="_Toc4875"/>
      <w:bookmarkStart w:id="12" w:name="_Toc4407"/>
      <w:bookmarkStart w:id="13" w:name="_Toc216690489"/>
      <w:r>
        <w:rPr>
          <w:rFonts w:hint="eastAsia" w:ascii="黑体" w:hAnsi="黑体" w:eastAsia="黑体" w:cs="Times New Roman"/>
          <w:bCs/>
          <w:kern w:val="2"/>
          <w:sz w:val="24"/>
          <w:szCs w:val="32"/>
          <w:lang w:eastAsia="zh-CN"/>
        </w:rPr>
        <w:t>非功能性要求</w:t>
      </w:r>
      <w:bookmarkEnd w:id="10"/>
      <w:bookmarkEnd w:id="11"/>
      <w:bookmarkEnd w:id="12"/>
      <w:bookmarkEnd w:id="13"/>
    </w:p>
    <w:p w14:paraId="3314AD0E">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除功能性要求外，还对电子海图显示与信息系统的非功能性要求（如可靠性、安全性、保障性、维修性、测试性、环境适应性等）作出了详细规定。以下是基于标准的核心非功能性要求的详细描述：</w:t>
      </w:r>
    </w:p>
    <w:p w14:paraId="06611977">
      <w:pPr>
        <w:keepNext/>
        <w:keepLines/>
        <w:widowControl w:val="0"/>
        <w:numPr>
          <w:ilvl w:val="1"/>
          <w:numId w:val="7"/>
        </w:numPr>
        <w:tabs>
          <w:tab w:val="left" w:pos="616"/>
        </w:tabs>
        <w:spacing w:after="0" w:line="360" w:lineRule="auto"/>
        <w:jc w:val="both"/>
        <w:outlineLvl w:val="1"/>
        <w:rPr>
          <w:rFonts w:ascii="黑体" w:hAnsi="Times New Roman" w:eastAsia="黑体" w:cs="Times New Roman"/>
          <w:bCs/>
          <w:kern w:val="2"/>
          <w:sz w:val="24"/>
          <w:szCs w:val="24"/>
          <w:lang w:eastAsia="zh-CN"/>
        </w:rPr>
      </w:pPr>
      <w:r>
        <w:rPr>
          <w:rFonts w:hint="eastAsia" w:ascii="黑体" w:hAnsi="Times New Roman" w:eastAsia="黑体" w:cs="Times New Roman"/>
          <w:bCs/>
          <w:kern w:val="2"/>
          <w:sz w:val="24"/>
          <w:szCs w:val="24"/>
          <w:lang w:eastAsia="zh-CN"/>
        </w:rPr>
        <w:t>可靠性要求</w:t>
      </w:r>
    </w:p>
    <w:p w14:paraId="34683964">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海图数据加载准确完整，海图初始化时间&lt;=8S，海图响应时间&lt;=2S；航线安全检查结果准确率高于99%；存储介质可靠；接口通信具备错误校验和自动重连机制，以保证数据链路的可靠</w:t>
      </w:r>
    </w:p>
    <w:p w14:paraId="08058C70">
      <w:pPr>
        <w:keepNext/>
        <w:keepLines/>
        <w:widowControl w:val="0"/>
        <w:numPr>
          <w:ilvl w:val="1"/>
          <w:numId w:val="7"/>
        </w:numPr>
        <w:tabs>
          <w:tab w:val="left" w:pos="616"/>
        </w:tabs>
        <w:spacing w:after="0" w:line="360" w:lineRule="auto"/>
        <w:jc w:val="both"/>
        <w:outlineLvl w:val="1"/>
        <w:rPr>
          <w:rFonts w:ascii="黑体" w:hAnsi="Times New Roman" w:eastAsia="黑体" w:cs="Times New Roman"/>
          <w:bCs/>
          <w:kern w:val="2"/>
          <w:sz w:val="24"/>
          <w:szCs w:val="24"/>
          <w:lang w:eastAsia="zh-CN"/>
        </w:rPr>
      </w:pPr>
      <w:r>
        <w:rPr>
          <w:rFonts w:hint="eastAsia" w:ascii="黑体" w:hAnsi="Times New Roman" w:eastAsia="黑体" w:cs="Times New Roman"/>
          <w:bCs/>
          <w:kern w:val="2"/>
          <w:sz w:val="24"/>
          <w:szCs w:val="24"/>
          <w:lang w:eastAsia="zh-CN"/>
        </w:rPr>
        <w:t>安全性要求</w:t>
      </w:r>
    </w:p>
    <w:p w14:paraId="62619C42">
      <w:pPr>
        <w:widowControl w:val="0"/>
        <w:numPr>
          <w:ilvl w:val="0"/>
          <w:numId w:val="16"/>
        </w:numPr>
        <w:autoSpaceDE w:val="0"/>
        <w:spacing w:after="0" w:line="360" w:lineRule="auto"/>
        <w:ind w:left="924" w:hanging="442"/>
        <w:jc w:val="both"/>
        <w:rPr>
          <w:rFonts w:hint="eastAsia" w:ascii="宋体" w:hAnsi="宋体" w:eastAsia="宋体" w:cs="Times New Roman"/>
          <w:kern w:val="2"/>
          <w:sz w:val="24"/>
          <w:szCs w:val="24"/>
          <w:lang w:eastAsia="zh-CN"/>
        </w:rPr>
      </w:pPr>
      <w:r>
        <w:rPr>
          <w:rFonts w:hint="eastAsia" w:ascii="宋体" w:hAnsi="宋体" w:eastAsia="宋体" w:cs="Times New Roman"/>
          <w:kern w:val="2"/>
          <w:sz w:val="24"/>
          <w:szCs w:val="24"/>
          <w:lang w:eastAsia="zh-CN"/>
        </w:rPr>
        <w:t>系统部署运行软硬件环境满足全军统一国产化要求。</w:t>
      </w:r>
    </w:p>
    <w:p w14:paraId="3EB1F135">
      <w:pPr>
        <w:widowControl w:val="0"/>
        <w:numPr>
          <w:ilvl w:val="0"/>
          <w:numId w:val="16"/>
        </w:numPr>
        <w:autoSpaceDE w:val="0"/>
        <w:spacing w:after="0" w:line="360" w:lineRule="auto"/>
        <w:ind w:left="924" w:hanging="442"/>
        <w:jc w:val="both"/>
        <w:rPr>
          <w:rFonts w:hint="eastAsia" w:ascii="宋体" w:hAnsi="宋体" w:eastAsia="宋体" w:cs="Times New Roman"/>
          <w:kern w:val="2"/>
          <w:sz w:val="24"/>
          <w:szCs w:val="24"/>
          <w:lang w:eastAsia="zh-CN"/>
        </w:rPr>
      </w:pPr>
      <w:r>
        <w:rPr>
          <w:rFonts w:hint="eastAsia" w:ascii="宋体" w:hAnsi="宋体" w:eastAsia="宋体" w:cs="Times New Roman"/>
          <w:kern w:val="2"/>
          <w:sz w:val="24"/>
          <w:szCs w:val="24"/>
          <w:lang w:eastAsia="zh-CN"/>
        </w:rPr>
        <w:t>系统上线运行前必须进行整体安全性测试，并提供安全测试报告；系统管理人员必须进行严格培训，能熟练进行系统管理；</w:t>
      </w:r>
    </w:p>
    <w:p w14:paraId="4775DAA9">
      <w:pPr>
        <w:widowControl w:val="0"/>
        <w:numPr>
          <w:ilvl w:val="0"/>
          <w:numId w:val="16"/>
        </w:numPr>
        <w:autoSpaceDE w:val="0"/>
        <w:spacing w:after="0" w:line="360" w:lineRule="auto"/>
        <w:ind w:left="924" w:hanging="442"/>
        <w:jc w:val="both"/>
        <w:rPr>
          <w:rFonts w:hint="eastAsia" w:ascii="宋体" w:hAnsi="宋体" w:eastAsia="宋体" w:cs="Times New Roman"/>
          <w:kern w:val="2"/>
          <w:sz w:val="24"/>
          <w:szCs w:val="24"/>
          <w:lang w:eastAsia="zh-CN"/>
        </w:rPr>
      </w:pPr>
      <w:r>
        <w:rPr>
          <w:rFonts w:hint="eastAsia" w:ascii="宋体" w:hAnsi="宋体" w:eastAsia="宋体" w:cs="Times New Roman"/>
          <w:kern w:val="2"/>
          <w:sz w:val="24"/>
          <w:szCs w:val="24"/>
          <w:lang w:eastAsia="zh-CN"/>
        </w:rPr>
        <w:t>对访问用户按照岗位业务进行灵活的权限设计，建立严格的授权机制；严禁在正式运行的系统与数据库中进行测试操作。</w:t>
      </w:r>
    </w:p>
    <w:p w14:paraId="452C3893">
      <w:pPr>
        <w:widowControl w:val="0"/>
        <w:numPr>
          <w:ilvl w:val="0"/>
          <w:numId w:val="16"/>
        </w:numPr>
        <w:autoSpaceDE w:val="0"/>
        <w:spacing w:after="0" w:line="360" w:lineRule="auto"/>
        <w:ind w:left="924" w:hanging="442"/>
        <w:jc w:val="both"/>
        <w:rPr>
          <w:rFonts w:hint="eastAsia" w:ascii="宋体" w:hAnsi="宋体" w:eastAsia="宋体" w:cs="Times New Roman"/>
          <w:kern w:val="2"/>
          <w:sz w:val="24"/>
          <w:szCs w:val="24"/>
          <w:lang w:eastAsia="zh-CN"/>
        </w:rPr>
      </w:pPr>
      <w:r>
        <w:rPr>
          <w:rFonts w:hint="eastAsia" w:ascii="宋体" w:hAnsi="宋体" w:eastAsia="宋体" w:cs="Times New Roman"/>
          <w:kern w:val="2"/>
          <w:sz w:val="24"/>
          <w:szCs w:val="24"/>
          <w:lang w:eastAsia="zh-CN"/>
        </w:rPr>
        <w:t>支持按照军用计算机网络安全防护标准进行网络软硬件部署配置。</w:t>
      </w:r>
    </w:p>
    <w:p w14:paraId="27A27550">
      <w:pPr>
        <w:keepNext/>
        <w:keepLines/>
        <w:widowControl w:val="0"/>
        <w:numPr>
          <w:ilvl w:val="1"/>
          <w:numId w:val="7"/>
        </w:numPr>
        <w:tabs>
          <w:tab w:val="left" w:pos="616"/>
        </w:tabs>
        <w:spacing w:after="0" w:line="360" w:lineRule="auto"/>
        <w:jc w:val="both"/>
        <w:outlineLvl w:val="1"/>
        <w:rPr>
          <w:rFonts w:ascii="黑体" w:hAnsi="Times New Roman" w:eastAsia="黑体" w:cs="Times New Roman"/>
          <w:bCs/>
          <w:kern w:val="2"/>
          <w:sz w:val="24"/>
          <w:szCs w:val="24"/>
          <w:lang w:eastAsia="zh-CN"/>
        </w:rPr>
      </w:pPr>
      <w:r>
        <w:rPr>
          <w:rFonts w:hint="eastAsia" w:ascii="黑体" w:hAnsi="Times New Roman" w:eastAsia="黑体" w:cs="Times New Roman"/>
          <w:bCs/>
          <w:kern w:val="2"/>
          <w:sz w:val="24"/>
          <w:szCs w:val="24"/>
          <w:lang w:eastAsia="zh-CN"/>
        </w:rPr>
        <w:t>保障性要求</w:t>
      </w:r>
    </w:p>
    <w:p w14:paraId="758C28F0">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软件随主机设备移交时，应同时移交用户使用手册。软件移交后，需要配合联试和使用进行维护，对软件的更改做好记录，同时需保持文档与代码的可追溯性和一致性。</w:t>
      </w:r>
    </w:p>
    <w:p w14:paraId="319BDF16">
      <w:pPr>
        <w:keepNext/>
        <w:keepLines/>
        <w:widowControl w:val="0"/>
        <w:numPr>
          <w:ilvl w:val="1"/>
          <w:numId w:val="7"/>
        </w:numPr>
        <w:tabs>
          <w:tab w:val="left" w:pos="616"/>
        </w:tabs>
        <w:spacing w:after="0" w:line="360" w:lineRule="auto"/>
        <w:jc w:val="both"/>
        <w:outlineLvl w:val="1"/>
        <w:rPr>
          <w:rFonts w:ascii="黑体" w:hAnsi="Times New Roman" w:eastAsia="黑体" w:cs="Times New Roman"/>
          <w:bCs/>
          <w:kern w:val="2"/>
          <w:sz w:val="24"/>
          <w:szCs w:val="24"/>
          <w:lang w:eastAsia="zh-CN"/>
        </w:rPr>
      </w:pPr>
      <w:r>
        <w:rPr>
          <w:rFonts w:hint="eastAsia" w:ascii="黑体" w:hAnsi="Times New Roman" w:eastAsia="黑体" w:cs="Times New Roman"/>
          <w:bCs/>
          <w:kern w:val="2"/>
          <w:sz w:val="24"/>
          <w:szCs w:val="24"/>
          <w:lang w:eastAsia="zh-CN"/>
        </w:rPr>
        <w:t>维修性要求</w:t>
      </w:r>
    </w:p>
    <w:p w14:paraId="6BBA5E04">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功能模块（如数据接入、告警管理、系统配置等）之间须具有定义清晰、稳定的接口；</w:t>
      </w:r>
    </w:p>
    <w:p w14:paraId="1427F2C6">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MTTR（平均维修时间）：≤0.5小时。</w:t>
      </w:r>
    </w:p>
    <w:p w14:paraId="5185FD6A">
      <w:pPr>
        <w:keepNext/>
        <w:keepLines/>
        <w:widowControl w:val="0"/>
        <w:numPr>
          <w:ilvl w:val="1"/>
          <w:numId w:val="7"/>
        </w:numPr>
        <w:tabs>
          <w:tab w:val="left" w:pos="616"/>
        </w:tabs>
        <w:spacing w:after="0" w:line="360" w:lineRule="auto"/>
        <w:jc w:val="both"/>
        <w:outlineLvl w:val="1"/>
        <w:rPr>
          <w:rFonts w:ascii="黑体" w:hAnsi="Times New Roman" w:eastAsia="黑体" w:cs="Times New Roman"/>
          <w:bCs/>
          <w:kern w:val="2"/>
          <w:sz w:val="24"/>
          <w:szCs w:val="24"/>
          <w:lang w:eastAsia="zh-CN"/>
        </w:rPr>
      </w:pPr>
      <w:r>
        <w:rPr>
          <w:rFonts w:hint="eastAsia" w:ascii="黑体" w:hAnsi="Times New Roman" w:eastAsia="黑体" w:cs="Times New Roman"/>
          <w:bCs/>
          <w:kern w:val="2"/>
          <w:sz w:val="24"/>
          <w:szCs w:val="24"/>
          <w:lang w:eastAsia="zh-CN"/>
        </w:rPr>
        <w:t>测试性要求</w:t>
      </w:r>
    </w:p>
    <w:p w14:paraId="00EBF006">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系统及其各模块在设计和实现时须充分考虑可测试性，包括提供必要的测试接口或机制，支持自动化测试的实施，以便于进行有效的单元测试、集成测试、系统测试和验收测试。</w:t>
      </w:r>
    </w:p>
    <w:p w14:paraId="620D1816">
      <w:pPr>
        <w:keepNext/>
        <w:keepLines/>
        <w:widowControl w:val="0"/>
        <w:numPr>
          <w:ilvl w:val="1"/>
          <w:numId w:val="7"/>
        </w:numPr>
        <w:tabs>
          <w:tab w:val="left" w:pos="616"/>
        </w:tabs>
        <w:spacing w:after="0" w:line="360" w:lineRule="auto"/>
        <w:jc w:val="both"/>
        <w:outlineLvl w:val="1"/>
        <w:rPr>
          <w:rFonts w:ascii="黑体" w:hAnsi="Times New Roman" w:eastAsia="黑体" w:cs="Times New Roman"/>
          <w:bCs/>
          <w:kern w:val="2"/>
          <w:sz w:val="24"/>
          <w:szCs w:val="24"/>
          <w:lang w:eastAsia="zh-CN"/>
        </w:rPr>
      </w:pPr>
      <w:r>
        <w:rPr>
          <w:rFonts w:hint="eastAsia" w:ascii="黑体" w:hAnsi="Times New Roman" w:eastAsia="黑体" w:cs="Times New Roman"/>
          <w:bCs/>
          <w:kern w:val="2"/>
          <w:sz w:val="24"/>
          <w:szCs w:val="24"/>
          <w:lang w:eastAsia="zh-CN"/>
        </w:rPr>
        <w:t>环境适应性要求</w:t>
      </w:r>
    </w:p>
    <w:p w14:paraId="236579A6">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软件运行环境：硬件平台（龙芯、飞腾、瑞芯微）和系统（麒麟、Ubuntu）。</w:t>
      </w:r>
    </w:p>
    <w:p w14:paraId="2B56A633">
      <w:pPr>
        <w:keepNext/>
        <w:keepLines/>
        <w:widowControl w:val="0"/>
        <w:numPr>
          <w:ilvl w:val="0"/>
          <w:numId w:val="7"/>
        </w:numPr>
        <w:tabs>
          <w:tab w:val="left" w:pos="420"/>
        </w:tabs>
        <w:spacing w:before="190" w:beforeLines="50" w:after="0" w:line="360" w:lineRule="auto"/>
        <w:ind w:left="431" w:hanging="431"/>
        <w:jc w:val="both"/>
        <w:outlineLvl w:val="0"/>
        <w:rPr>
          <w:rFonts w:hint="eastAsia" w:ascii="黑体" w:hAnsi="黑体" w:eastAsia="黑体" w:cs="Times New Roman"/>
          <w:bCs/>
          <w:kern w:val="2"/>
          <w:sz w:val="24"/>
          <w:szCs w:val="32"/>
          <w:lang w:eastAsia="zh-CN"/>
        </w:rPr>
      </w:pPr>
      <w:bookmarkStart w:id="14" w:name="_Toc216690490"/>
      <w:r>
        <w:rPr>
          <w:rFonts w:hint="eastAsia" w:ascii="黑体" w:hAnsi="黑体" w:eastAsia="黑体" w:cs="Times New Roman"/>
          <w:bCs/>
          <w:kern w:val="2"/>
          <w:sz w:val="24"/>
          <w:szCs w:val="32"/>
          <w:lang w:eastAsia="zh-CN"/>
        </w:rPr>
        <w:t>接口需求</w:t>
      </w:r>
      <w:bookmarkEnd w:id="14"/>
    </w:p>
    <w:p w14:paraId="2882B698">
      <w:pPr>
        <w:widowControl w:val="0"/>
        <w:numPr>
          <w:ilvl w:val="2"/>
          <w:numId w:val="7"/>
        </w:numPr>
        <w:spacing w:after="0" w:line="360" w:lineRule="auto"/>
        <w:ind w:left="720" w:hanging="720"/>
        <w:jc w:val="both"/>
        <w:outlineLvl w:val="2"/>
        <w:rPr>
          <w:rFonts w:ascii="Times New Roman" w:hAnsi="Times New Roman" w:eastAsia="黑体" w:cs="Times New Roman"/>
          <w:bCs/>
          <w:kern w:val="2"/>
          <w:sz w:val="24"/>
          <w:szCs w:val="32"/>
          <w:lang w:eastAsia="zh-CN"/>
        </w:rPr>
      </w:pPr>
      <w:r>
        <w:rPr>
          <w:rFonts w:hint="eastAsia" w:ascii="Times New Roman" w:hAnsi="Times New Roman" w:eastAsia="黑体" w:cs="Times New Roman"/>
          <w:bCs/>
          <w:kern w:val="2"/>
          <w:sz w:val="24"/>
          <w:szCs w:val="32"/>
          <w:lang w:eastAsia="zh-CN"/>
        </w:rPr>
        <w:t>内部接口</w:t>
      </w:r>
    </w:p>
    <w:p w14:paraId="389A7348">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14:paraId="3B3B99FC">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14:paraId="06ED45AA">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14:paraId="1E16FC03">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14:paraId="63ACE4D0">
      <w:pPr>
        <w:widowControl w:val="0"/>
        <w:numPr>
          <w:ilvl w:val="2"/>
          <w:numId w:val="7"/>
        </w:numPr>
        <w:spacing w:after="0" w:line="360" w:lineRule="auto"/>
        <w:ind w:left="720" w:hanging="720"/>
        <w:jc w:val="both"/>
        <w:outlineLvl w:val="2"/>
        <w:rPr>
          <w:rFonts w:ascii="Times New Roman" w:hAnsi="Times New Roman" w:eastAsia="黑体" w:cs="Times New Roman"/>
          <w:bCs/>
          <w:kern w:val="2"/>
          <w:sz w:val="24"/>
          <w:szCs w:val="32"/>
          <w:lang w:eastAsia="zh-CN"/>
        </w:rPr>
      </w:pPr>
      <w:r>
        <w:rPr>
          <w:rFonts w:hint="eastAsia" w:ascii="Times New Roman" w:hAnsi="Times New Roman" w:eastAsia="黑体" w:cs="Times New Roman"/>
          <w:bCs/>
          <w:kern w:val="2"/>
          <w:sz w:val="24"/>
          <w:szCs w:val="32"/>
          <w:lang w:eastAsia="zh-CN"/>
        </w:rPr>
        <w:t>外部接口</w:t>
      </w:r>
    </w:p>
    <w:p w14:paraId="144FE286">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14:paraId="0C5E1102">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BAM（船舶安保报警系统）、MSI（航海气象信息系统）、INS（惯性导航系统）等系统的接口。通过这些接口，实现数据共享和功能协同。如与MSI系统连接，获取气象预报信息，并在海图上叠加显示风浪、台风路径等气象数据，辅助船员进行航线决策。</w:t>
      </w:r>
    </w:p>
    <w:p w14:paraId="52F9E8B4">
      <w:pPr>
        <w:widowControl w:val="0"/>
        <w:spacing w:after="0" w:line="360" w:lineRule="auto"/>
        <w:ind w:firstLine="480" w:firstLineChars="20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人机交互与控制HMI：支持多种输入方式，如触摸屏、鼠标、键盘、轨迹球等。触摸屏操作直观便捷，适合快速调整显示参数或选择功能；鼠标和键盘则便于进行复杂的文字输入和精确操作，如输入港口名称进行搜索。</w:t>
      </w:r>
    </w:p>
    <w:p w14:paraId="2E14AF14">
      <w:pPr>
        <w:keepNext/>
        <w:keepLines/>
        <w:widowControl w:val="0"/>
        <w:numPr>
          <w:ilvl w:val="0"/>
          <w:numId w:val="7"/>
        </w:numPr>
        <w:tabs>
          <w:tab w:val="left" w:pos="420"/>
        </w:tabs>
        <w:spacing w:before="190" w:beforeLines="50" w:after="0" w:line="360" w:lineRule="auto"/>
        <w:ind w:left="431" w:hanging="431"/>
        <w:jc w:val="both"/>
        <w:outlineLvl w:val="0"/>
        <w:rPr>
          <w:rFonts w:hint="eastAsia" w:ascii="黑体" w:hAnsi="黑体" w:eastAsia="黑体" w:cs="Times New Roman"/>
          <w:bCs/>
          <w:kern w:val="44"/>
          <w:sz w:val="24"/>
          <w:szCs w:val="44"/>
          <w:lang w:eastAsia="zh-CN"/>
        </w:rPr>
      </w:pPr>
      <w:bookmarkStart w:id="15" w:name="_Toc441654991"/>
      <w:bookmarkStart w:id="16" w:name="_Toc216690491"/>
      <w:r>
        <w:rPr>
          <w:rFonts w:hint="eastAsia" w:ascii="黑体" w:hAnsi="黑体" w:eastAsia="黑体" w:cs="Times New Roman"/>
          <w:bCs/>
          <w:kern w:val="44"/>
          <w:sz w:val="24"/>
          <w:szCs w:val="44"/>
          <w:lang w:eastAsia="zh-CN"/>
        </w:rPr>
        <w:t>设计约束</w:t>
      </w:r>
      <w:bookmarkEnd w:id="15"/>
      <w:bookmarkEnd w:id="16"/>
    </w:p>
    <w:p w14:paraId="4DD834CE">
      <w:pPr>
        <w:widowControl w:val="0"/>
        <w:spacing w:after="0" w:line="360" w:lineRule="auto"/>
        <w:ind w:firstLine="480" w:firstLineChars="200"/>
        <w:jc w:val="both"/>
        <w:rPr>
          <w:rFonts w:ascii="Times New Roman" w:hAnsi="Times New Roman" w:eastAsia="宋体" w:cs="Times New Roman"/>
          <w:kern w:val="0"/>
          <w:sz w:val="24"/>
          <w:szCs w:val="20"/>
          <w:lang w:eastAsia="zh-CN"/>
        </w:rPr>
      </w:pPr>
      <w:r>
        <w:rPr>
          <w:rFonts w:hint="eastAsia" w:ascii="Times New Roman" w:hAnsi="Times New Roman" w:eastAsia="宋体" w:cs="Times New Roman"/>
          <w:kern w:val="0"/>
          <w:sz w:val="24"/>
          <w:szCs w:val="20"/>
          <w:lang w:eastAsia="zh-CN"/>
        </w:rPr>
        <w:t>需求标识符：DZHT_2025_DesignRestrict</w:t>
      </w:r>
      <w:r>
        <w:rPr>
          <w:rFonts w:ascii="Times New Roman" w:hAnsi="Times New Roman" w:eastAsia="宋体" w:cs="Times New Roman"/>
          <w:kern w:val="0"/>
          <w:sz w:val="24"/>
          <w:szCs w:val="20"/>
          <w:lang w:eastAsia="zh-CN"/>
        </w:rPr>
        <w:t>。</w:t>
      </w:r>
    </w:p>
    <w:p w14:paraId="3F5DE868">
      <w:pPr>
        <w:widowControl w:val="0"/>
        <w:spacing w:after="0" w:line="360" w:lineRule="auto"/>
        <w:ind w:firstLine="480" w:firstLineChars="200"/>
        <w:jc w:val="both"/>
        <w:rPr>
          <w:rFonts w:ascii="Times New Roman" w:hAnsi="Times New Roman" w:eastAsia="宋体" w:cs="Times New Roman"/>
          <w:kern w:val="0"/>
          <w:sz w:val="24"/>
          <w:szCs w:val="20"/>
          <w:lang w:eastAsia="zh-CN"/>
        </w:rPr>
      </w:pPr>
      <w:r>
        <w:rPr>
          <w:rFonts w:hint="eastAsia" w:ascii="Times New Roman" w:hAnsi="Times New Roman" w:eastAsia="宋体" w:cs="Times New Roman"/>
          <w:kern w:val="0"/>
          <w:sz w:val="24"/>
          <w:szCs w:val="20"/>
          <w:lang w:eastAsia="zh-CN"/>
        </w:rPr>
        <w:t>电子海图显示与信息系统</w:t>
      </w:r>
      <w:r>
        <w:rPr>
          <w:rFonts w:ascii="Times New Roman" w:hAnsi="Times New Roman" w:eastAsia="宋体" w:cs="Times New Roman"/>
          <w:kern w:val="0"/>
          <w:sz w:val="24"/>
          <w:szCs w:val="20"/>
          <w:lang w:eastAsia="zh-CN"/>
        </w:rPr>
        <w:t>的设计约束如下：</w:t>
      </w:r>
    </w:p>
    <w:p w14:paraId="51B5D064">
      <w:pPr>
        <w:widowControl w:val="0"/>
        <w:numPr>
          <w:ilvl w:val="0"/>
          <w:numId w:val="17"/>
        </w:numPr>
        <w:spacing w:after="0" w:line="360" w:lineRule="auto"/>
        <w:ind w:left="900" w:hanging="42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本项目研制工作的开展必须严格遵守相关保密规定</w:t>
      </w:r>
      <w:r>
        <w:rPr>
          <w:rFonts w:ascii="Times New Roman" w:hAnsi="Times New Roman" w:eastAsia="宋体" w:cs="Times New Roman"/>
          <w:kern w:val="2"/>
          <w:sz w:val="24"/>
          <w:szCs w:val="20"/>
          <w:lang w:eastAsia="zh-CN"/>
        </w:rPr>
        <w:t>；</w:t>
      </w:r>
    </w:p>
    <w:p w14:paraId="1DF4C013">
      <w:pPr>
        <w:widowControl w:val="0"/>
        <w:numPr>
          <w:ilvl w:val="0"/>
          <w:numId w:val="17"/>
        </w:numPr>
        <w:spacing w:after="0" w:line="360" w:lineRule="auto"/>
        <w:ind w:left="900" w:hanging="42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本软件支持用户操作界面与显示，采用C++编程语言</w:t>
      </w:r>
      <w:r>
        <w:rPr>
          <w:rFonts w:ascii="Times New Roman" w:hAnsi="Times New Roman" w:eastAsia="宋体" w:cs="Times New Roman"/>
          <w:kern w:val="2"/>
          <w:sz w:val="24"/>
          <w:szCs w:val="20"/>
          <w:lang w:eastAsia="zh-CN"/>
        </w:rPr>
        <w:t>；</w:t>
      </w:r>
    </w:p>
    <w:p w14:paraId="5A69F721">
      <w:pPr>
        <w:widowControl w:val="0"/>
        <w:numPr>
          <w:ilvl w:val="0"/>
          <w:numId w:val="17"/>
        </w:numPr>
        <w:spacing w:after="0" w:line="360" w:lineRule="auto"/>
        <w:ind w:left="900" w:hanging="420"/>
        <w:jc w:val="both"/>
        <w:rPr>
          <w:rFonts w:ascii="Times New Roman" w:hAnsi="Times New Roman" w:eastAsia="宋体" w:cs="Times New Roman"/>
          <w:kern w:val="2"/>
          <w:sz w:val="24"/>
          <w:szCs w:val="20"/>
          <w:lang w:eastAsia="zh-CN"/>
        </w:rPr>
      </w:pPr>
      <w:r>
        <w:rPr>
          <w:rFonts w:hint="eastAsia" w:ascii="Times New Roman" w:hAnsi="Times New Roman" w:eastAsia="宋体" w:cs="Times New Roman"/>
          <w:kern w:val="2"/>
          <w:sz w:val="24"/>
          <w:szCs w:val="20"/>
          <w:lang w:eastAsia="zh-CN"/>
        </w:rPr>
        <w:t>软件采用分层结构和模块化设计，设计是充分考虑继承性、灵活性和可维护性</w:t>
      </w:r>
      <w:r>
        <w:rPr>
          <w:rFonts w:ascii="Times New Roman" w:hAnsi="Times New Roman" w:eastAsia="宋体" w:cs="Times New Roman"/>
          <w:kern w:val="2"/>
          <w:sz w:val="24"/>
          <w:szCs w:val="20"/>
          <w:lang w:eastAsia="zh-CN"/>
        </w:rPr>
        <w:t>。</w:t>
      </w:r>
    </w:p>
    <w:p w14:paraId="011253C2">
      <w:pPr>
        <w:keepNext/>
        <w:keepLines/>
        <w:widowControl w:val="0"/>
        <w:numPr>
          <w:ilvl w:val="0"/>
          <w:numId w:val="7"/>
        </w:numPr>
        <w:tabs>
          <w:tab w:val="left" w:pos="420"/>
        </w:tabs>
        <w:spacing w:before="190" w:beforeLines="50" w:after="0" w:line="360" w:lineRule="auto"/>
        <w:ind w:left="431" w:hanging="431"/>
        <w:jc w:val="both"/>
        <w:outlineLvl w:val="0"/>
        <w:rPr>
          <w:rFonts w:hint="eastAsia" w:ascii="黑体" w:hAnsi="黑体" w:eastAsia="黑体" w:cs="Times New Roman"/>
          <w:bCs/>
          <w:kern w:val="44"/>
          <w:sz w:val="24"/>
          <w:szCs w:val="44"/>
          <w:lang w:eastAsia="zh-CN"/>
        </w:rPr>
      </w:pPr>
      <w:r>
        <w:rPr>
          <w:rFonts w:hint="eastAsia" w:ascii="黑体" w:hAnsi="黑体" w:eastAsia="黑体" w:cs="Times New Roman"/>
          <w:bCs/>
          <w:kern w:val="44"/>
          <w:sz w:val="24"/>
          <w:szCs w:val="44"/>
          <w:lang w:eastAsia="zh-CN"/>
        </w:rPr>
        <w:t>质量监督和检验验收要求</w:t>
      </w:r>
    </w:p>
    <w:p w14:paraId="2FA7DF96">
      <w:pPr>
        <w:keepNext/>
        <w:keepLines/>
        <w:widowControl w:val="0"/>
        <w:numPr>
          <w:ilvl w:val="1"/>
          <w:numId w:val="7"/>
        </w:numPr>
        <w:tabs>
          <w:tab w:val="left" w:pos="616"/>
        </w:tabs>
        <w:spacing w:after="0" w:line="360" w:lineRule="auto"/>
        <w:jc w:val="both"/>
        <w:outlineLvl w:val="1"/>
        <w:rPr>
          <w:rFonts w:hint="eastAsia" w:ascii="黑体" w:hAnsi="黑体" w:eastAsia="黑体" w:cs="Times New Roman"/>
          <w:bCs/>
          <w:kern w:val="2"/>
          <w:sz w:val="24"/>
          <w:szCs w:val="32"/>
          <w:lang w:eastAsia="zh-CN"/>
        </w:rPr>
      </w:pPr>
      <w:r>
        <w:rPr>
          <w:rFonts w:hint="eastAsia" w:ascii="黑体" w:hAnsi="黑体" w:eastAsia="黑体" w:cs="Times New Roman"/>
          <w:bCs/>
          <w:kern w:val="2"/>
          <w:sz w:val="24"/>
          <w:szCs w:val="32"/>
          <w:lang w:eastAsia="zh-CN"/>
        </w:rPr>
        <w:t>质量监督要求</w:t>
      </w:r>
    </w:p>
    <w:p w14:paraId="027CC968">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Theme="minorEastAsia"/>
          <w:b w:val="0"/>
          <w:sz w:val="24"/>
        </w:rPr>
      </w:pPr>
      <w:r>
        <w:rPr>
          <w:rFonts w:ascii="Times New Roman" w:hAnsi="Times New Roman" w:eastAsiaTheme="minorEastAsia"/>
          <w:b w:val="0"/>
          <w:sz w:val="24"/>
          <w:u w:val="none"/>
        </w:rPr>
        <w:t>乙方应当接受甲方质量体系及客户代表机构的监督和评价，应当确保甲方及经甲方同意的</w:t>
      </w:r>
    </w:p>
    <w:p w14:paraId="5327071B">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有关方有权进入与本规格书有关现场，开展过程及产品质量监督，以验证乙方对规格书要求的</w:t>
      </w:r>
    </w:p>
    <w:p w14:paraId="0A534A43">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遵守情况，乙方应当提供必要的数据、记录、文件等资源支持。</w:t>
      </w:r>
    </w:p>
    <w:p w14:paraId="04405036">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Theme="minorEastAsia"/>
          <w:b w:val="0"/>
          <w:sz w:val="24"/>
        </w:rPr>
      </w:pPr>
      <w:r>
        <w:rPr>
          <w:rFonts w:ascii="Times New Roman" w:hAnsi="Times New Roman" w:eastAsiaTheme="minorEastAsia"/>
          <w:b w:val="0"/>
          <w:sz w:val="24"/>
          <w:u w:val="none"/>
        </w:rPr>
        <w:t>甲乙双方应当在产品检测评价标准、缺陷判据、抽样方法等方面达成一致，由合同甲方制</w:t>
      </w:r>
    </w:p>
    <w:p w14:paraId="43529A97">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定《电子海图显示与信息系统软件验收大纲》文件。</w:t>
      </w:r>
    </w:p>
    <w:p w14:paraId="601EDAA7">
      <w:pPr>
        <w:keepNext/>
        <w:keepLines/>
        <w:widowControl w:val="0"/>
        <w:numPr>
          <w:ilvl w:val="1"/>
          <w:numId w:val="7"/>
        </w:numPr>
        <w:tabs>
          <w:tab w:val="left" w:pos="616"/>
        </w:tabs>
        <w:spacing w:after="0" w:line="360" w:lineRule="auto"/>
        <w:jc w:val="both"/>
        <w:outlineLvl w:val="1"/>
        <w:rPr>
          <w:rFonts w:hint="eastAsia" w:ascii="黑体" w:hAnsi="黑体" w:eastAsia="黑体" w:cs="Times New Roman"/>
          <w:bCs/>
          <w:kern w:val="2"/>
          <w:sz w:val="24"/>
          <w:szCs w:val="32"/>
          <w:lang w:eastAsia="zh-CN"/>
        </w:rPr>
      </w:pPr>
      <w:r>
        <w:rPr>
          <w:rFonts w:hint="eastAsia" w:ascii="黑体" w:hAnsi="黑体" w:eastAsia="黑体" w:cs="Times New Roman"/>
          <w:bCs/>
          <w:kern w:val="2"/>
          <w:sz w:val="24"/>
          <w:szCs w:val="32"/>
          <w:lang w:eastAsia="zh-CN"/>
        </w:rPr>
        <w:t>检验验收要求</w:t>
      </w:r>
    </w:p>
    <w:p w14:paraId="26E65CB7">
      <w:pPr>
        <w:keepNext/>
        <w:keepLines/>
        <w:widowControl w:val="0"/>
        <w:numPr>
          <w:ilvl w:val="2"/>
          <w:numId w:val="7"/>
        </w:numPr>
        <w:tabs>
          <w:tab w:val="left" w:pos="616"/>
        </w:tabs>
        <w:spacing w:after="0" w:line="360" w:lineRule="auto"/>
        <w:jc w:val="both"/>
        <w:outlineLvl w:val="2"/>
        <w:rPr>
          <w:rFonts w:hint="eastAsia" w:ascii="黑体" w:hAnsi="黑体" w:eastAsia="黑体" w:cs="Times New Roman"/>
          <w:bCs/>
          <w:kern w:val="2"/>
          <w:sz w:val="24"/>
          <w:szCs w:val="32"/>
          <w:lang w:eastAsia="zh-CN"/>
        </w:rPr>
      </w:pPr>
      <w:r>
        <w:rPr>
          <w:rFonts w:hint="eastAsia" w:ascii="黑体" w:hAnsi="黑体" w:eastAsia="黑体" w:cs="Times New Roman"/>
          <w:bCs/>
          <w:kern w:val="2"/>
          <w:sz w:val="24"/>
          <w:szCs w:val="32"/>
          <w:lang w:eastAsia="zh-CN"/>
        </w:rPr>
        <w:t>检验验收种类和方式</w:t>
      </w:r>
    </w:p>
    <w:p w14:paraId="12C44E9C">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Theme="minorEastAsia"/>
          <w:b w:val="0"/>
          <w:sz w:val="24"/>
        </w:rPr>
      </w:pPr>
      <w:r>
        <w:rPr>
          <w:rFonts w:ascii="Times New Roman" w:hAnsi="Times New Roman" w:eastAsiaTheme="minorEastAsia"/>
          <w:b w:val="0"/>
          <w:sz w:val="24"/>
          <w:u w:val="none"/>
        </w:rPr>
        <w:t>乙方应配合甲方完成外包验收工作，验收按照甲方编制的验收大纲、规范中相关要求执行。</w:t>
      </w:r>
    </w:p>
    <w:p w14:paraId="2EAB7C1A">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乙方需提供给甲方的外包验收交付物见表1。</w:t>
      </w:r>
    </w:p>
    <w:p w14:paraId="7E17A74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表1  乙方需提供给甲方的交付物</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932"/>
        <w:gridCol w:w="737"/>
        <w:gridCol w:w="1927"/>
      </w:tblGrid>
      <w:tr w14:paraId="5189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2F2F2"/>
            <w:vAlign w:val="center"/>
          </w:tcPr>
          <w:p w14:paraId="70DB2AF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序号</w:t>
            </w:r>
          </w:p>
        </w:tc>
        <w:tc>
          <w:tcPr>
            <w:tcW w:w="4932" w:type="dxa"/>
            <w:shd w:val="clear" w:color="auto" w:fill="F2F2F2"/>
            <w:vAlign w:val="center"/>
          </w:tcPr>
          <w:p w14:paraId="6F16DA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交付物名称</w:t>
            </w:r>
          </w:p>
        </w:tc>
        <w:tc>
          <w:tcPr>
            <w:tcW w:w="737" w:type="dxa"/>
            <w:shd w:val="clear" w:color="auto" w:fill="F2F2F2"/>
            <w:vAlign w:val="center"/>
          </w:tcPr>
          <w:p w14:paraId="1B84BC3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数量</w:t>
            </w:r>
          </w:p>
        </w:tc>
        <w:tc>
          <w:tcPr>
            <w:tcW w:w="1927" w:type="dxa"/>
            <w:shd w:val="clear" w:color="auto" w:fill="F2F2F2"/>
            <w:vAlign w:val="center"/>
          </w:tcPr>
          <w:p w14:paraId="4BCD4ED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说明</w:t>
            </w:r>
          </w:p>
        </w:tc>
      </w:tr>
      <w:tr w14:paraId="0E98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06F4F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1</w:t>
            </w:r>
          </w:p>
        </w:tc>
        <w:tc>
          <w:tcPr>
            <w:tcW w:w="4932" w:type="dxa"/>
            <w:vAlign w:val="center"/>
          </w:tcPr>
          <w:p w14:paraId="0B1D07C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ascii="Times New Roman" w:hAnsi="Times New Roman" w:eastAsiaTheme="minorEastAsia"/>
                <w:b w:val="0"/>
                <w:sz w:val="24"/>
              </w:rPr>
            </w:pPr>
            <w:r>
              <w:rPr>
                <w:rFonts w:ascii="Times New Roman" w:hAnsi="Times New Roman" w:eastAsiaTheme="minorEastAsia"/>
                <w:b w:val="0"/>
                <w:sz w:val="24"/>
                <w:u w:val="none"/>
              </w:rPr>
              <w:t>交付软件源代码和可执行文件在2套甲方提供的设备上能可靠运行</w:t>
            </w:r>
          </w:p>
        </w:tc>
        <w:tc>
          <w:tcPr>
            <w:tcW w:w="737" w:type="dxa"/>
            <w:vAlign w:val="center"/>
          </w:tcPr>
          <w:p w14:paraId="1E1FD41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2套</w:t>
            </w:r>
          </w:p>
        </w:tc>
        <w:tc>
          <w:tcPr>
            <w:tcW w:w="1927" w:type="dxa"/>
            <w:vAlign w:val="center"/>
          </w:tcPr>
          <w:p w14:paraId="5428A6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实物</w:t>
            </w:r>
          </w:p>
        </w:tc>
      </w:tr>
      <w:tr w14:paraId="118C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3567A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2</w:t>
            </w:r>
          </w:p>
        </w:tc>
        <w:tc>
          <w:tcPr>
            <w:tcW w:w="4932" w:type="dxa"/>
            <w:vAlign w:val="center"/>
          </w:tcPr>
          <w:p w14:paraId="3F990891">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ascii="Times New Roman" w:hAnsi="Times New Roman" w:eastAsiaTheme="minorEastAsia"/>
                <w:b w:val="0"/>
                <w:sz w:val="24"/>
              </w:rPr>
            </w:pPr>
            <w:r>
              <w:rPr>
                <w:rFonts w:ascii="Times New Roman" w:hAnsi="Times New Roman" w:eastAsiaTheme="minorEastAsia"/>
                <w:b w:val="0"/>
                <w:sz w:val="24"/>
                <w:u w:val="none"/>
              </w:rPr>
              <w:t>交付软件源代码（含完整注释）及可执行文件</w:t>
            </w:r>
          </w:p>
        </w:tc>
        <w:tc>
          <w:tcPr>
            <w:tcW w:w="737" w:type="dxa"/>
            <w:vAlign w:val="center"/>
          </w:tcPr>
          <w:p w14:paraId="567AB83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1份</w:t>
            </w:r>
          </w:p>
        </w:tc>
        <w:tc>
          <w:tcPr>
            <w:tcW w:w="1927" w:type="dxa"/>
            <w:vAlign w:val="center"/>
          </w:tcPr>
          <w:p w14:paraId="06028D5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纸质、光盘</w:t>
            </w:r>
          </w:p>
        </w:tc>
      </w:tr>
      <w:tr w14:paraId="4894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E4F33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3</w:t>
            </w:r>
          </w:p>
        </w:tc>
        <w:tc>
          <w:tcPr>
            <w:tcW w:w="4932" w:type="dxa"/>
            <w:vAlign w:val="center"/>
          </w:tcPr>
          <w:p w14:paraId="682AFE8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ascii="Times New Roman" w:hAnsi="Times New Roman" w:eastAsiaTheme="minorEastAsia"/>
                <w:b w:val="0"/>
                <w:sz w:val="24"/>
              </w:rPr>
            </w:pPr>
            <w:r>
              <w:rPr>
                <w:rFonts w:ascii="Times New Roman" w:hAnsi="Times New Roman" w:eastAsiaTheme="minorEastAsia"/>
                <w:b w:val="0"/>
                <w:sz w:val="24"/>
                <w:u w:val="none"/>
              </w:rPr>
              <w:t>软件部署及运维指南</w:t>
            </w:r>
          </w:p>
        </w:tc>
        <w:tc>
          <w:tcPr>
            <w:tcW w:w="737" w:type="dxa"/>
            <w:vAlign w:val="center"/>
          </w:tcPr>
          <w:p w14:paraId="3934E1F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1份</w:t>
            </w:r>
          </w:p>
        </w:tc>
        <w:tc>
          <w:tcPr>
            <w:tcW w:w="1927" w:type="dxa"/>
            <w:vAlign w:val="center"/>
          </w:tcPr>
          <w:p w14:paraId="2901F01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纸质、光盘</w:t>
            </w:r>
          </w:p>
        </w:tc>
      </w:tr>
      <w:tr w14:paraId="2CCF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6B7934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4</w:t>
            </w:r>
          </w:p>
        </w:tc>
        <w:tc>
          <w:tcPr>
            <w:tcW w:w="4932" w:type="dxa"/>
            <w:vAlign w:val="center"/>
          </w:tcPr>
          <w:p w14:paraId="47C23A0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ascii="Times New Roman" w:hAnsi="Times New Roman" w:eastAsiaTheme="minorEastAsia"/>
                <w:b w:val="0"/>
                <w:sz w:val="24"/>
              </w:rPr>
            </w:pPr>
            <w:r>
              <w:rPr>
                <w:rFonts w:ascii="Times New Roman" w:hAnsi="Times New Roman" w:eastAsiaTheme="minorEastAsia"/>
                <w:b w:val="0"/>
                <w:sz w:val="24"/>
                <w:u w:val="none"/>
              </w:rPr>
              <w:t>按GJB438C-2021提供技术文档</w:t>
            </w:r>
          </w:p>
        </w:tc>
        <w:tc>
          <w:tcPr>
            <w:tcW w:w="737" w:type="dxa"/>
            <w:vAlign w:val="center"/>
          </w:tcPr>
          <w:p w14:paraId="29F8244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1套</w:t>
            </w:r>
          </w:p>
        </w:tc>
        <w:tc>
          <w:tcPr>
            <w:tcW w:w="1927" w:type="dxa"/>
            <w:vAlign w:val="center"/>
          </w:tcPr>
          <w:p w14:paraId="49F6F16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heme="minorEastAsia"/>
                <w:b w:val="0"/>
                <w:sz w:val="24"/>
              </w:rPr>
            </w:pPr>
            <w:r>
              <w:rPr>
                <w:rFonts w:ascii="Times New Roman" w:hAnsi="Times New Roman" w:eastAsiaTheme="minorEastAsia"/>
                <w:b w:val="0"/>
                <w:sz w:val="24"/>
                <w:u w:val="none"/>
              </w:rPr>
              <w:t>纸质、光盘</w:t>
            </w:r>
          </w:p>
        </w:tc>
      </w:tr>
    </w:tbl>
    <w:p w14:paraId="5D6DE8CD">
      <w:pPr>
        <w:keepNext/>
        <w:keepLines/>
        <w:widowControl w:val="0"/>
        <w:numPr>
          <w:ilvl w:val="2"/>
          <w:numId w:val="7"/>
        </w:numPr>
        <w:tabs>
          <w:tab w:val="left" w:pos="616"/>
        </w:tabs>
        <w:spacing w:after="0" w:line="360" w:lineRule="auto"/>
        <w:jc w:val="both"/>
        <w:outlineLvl w:val="2"/>
        <w:rPr>
          <w:rFonts w:hint="eastAsia" w:ascii="黑体" w:hAnsi="黑体" w:eastAsia="黑体" w:cs="Times New Roman"/>
          <w:bCs/>
          <w:kern w:val="2"/>
          <w:sz w:val="24"/>
          <w:szCs w:val="32"/>
          <w:lang w:eastAsia="zh-CN"/>
        </w:rPr>
      </w:pPr>
      <w:r>
        <w:rPr>
          <w:rFonts w:hint="eastAsia" w:ascii="黑体" w:hAnsi="黑体" w:eastAsia="黑体" w:cs="Times New Roman"/>
          <w:bCs/>
          <w:kern w:val="2"/>
          <w:sz w:val="24"/>
          <w:szCs w:val="32"/>
          <w:lang w:eastAsia="zh-CN"/>
        </w:rPr>
        <w:t>拒收准则</w:t>
      </w:r>
    </w:p>
    <w:p w14:paraId="18B1BAEA">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Theme="minorEastAsia"/>
          <w:b w:val="0"/>
          <w:sz w:val="24"/>
        </w:rPr>
      </w:pPr>
      <w:r>
        <w:rPr>
          <w:rFonts w:ascii="Times New Roman" w:hAnsi="Times New Roman" w:eastAsiaTheme="minorEastAsia"/>
          <w:b w:val="0"/>
          <w:sz w:val="24"/>
          <w:u w:val="none"/>
        </w:rPr>
        <w:t>甲乙双方应当按照</w:t>
      </w:r>
      <w:r>
        <w:rPr>
          <w:rFonts w:hint="eastAsia" w:ascii="Times New Roman" w:hAnsi="Times New Roman"/>
          <w:b w:val="0"/>
          <w:sz w:val="24"/>
          <w:u w:val="none"/>
          <w:lang w:val="en-US" w:eastAsia="zh-CN"/>
        </w:rPr>
        <w:t>7</w:t>
      </w:r>
      <w:r>
        <w:rPr>
          <w:rFonts w:ascii="Times New Roman" w:hAnsi="Times New Roman" w:eastAsiaTheme="minorEastAsia"/>
          <w:b w:val="0"/>
          <w:sz w:val="24"/>
          <w:u w:val="none"/>
        </w:rPr>
        <w:t>.2.1条要求开展产品检测和评价，有下列情形时，甲方有权拒收</w:t>
      </w:r>
    </w:p>
    <w:p w14:paraId="00BAF780">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交付的产品：所交付产品为不合格产品的；所交付产品含有侵权纠纷的；提交产品尚未完成甲</w:t>
      </w:r>
    </w:p>
    <w:p w14:paraId="3A16004D">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方的设计要求；乙方对甲方提出的纠正措施要求未作答复或提供的纠正措施不能接受的；在甲</w:t>
      </w:r>
    </w:p>
    <w:p w14:paraId="38291024">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方要求不得让步接收的产品中存在让步接收情况的。</w:t>
      </w:r>
    </w:p>
    <w:p w14:paraId="18DB6E17">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5 违约处罚及责任追究</w:t>
      </w:r>
    </w:p>
    <w:p w14:paraId="58DB705C">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Theme="minorEastAsia"/>
          <w:b w:val="0"/>
          <w:sz w:val="24"/>
        </w:rPr>
      </w:pPr>
      <w:r>
        <w:rPr>
          <w:rFonts w:ascii="Times New Roman" w:hAnsi="Times New Roman" w:eastAsiaTheme="minorEastAsia"/>
          <w:b w:val="0"/>
          <w:sz w:val="24"/>
          <w:u w:val="none"/>
        </w:rPr>
        <w:t>乙方出现如交付产品不合格、使用中出现批次性质量问题、质量问题导致甲方或甲方顾客</w:t>
      </w:r>
    </w:p>
    <w:p w14:paraId="23F0CCDF">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损失等情况时，乙方应负责更换并承担所有处理费用，并赔偿甲方损失。</w:t>
      </w:r>
    </w:p>
    <w:p w14:paraId="750A6DB3">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Theme="minorEastAsia"/>
          <w:b w:val="0"/>
          <w:sz w:val="24"/>
        </w:rPr>
      </w:pPr>
      <w:r>
        <w:rPr>
          <w:rFonts w:ascii="Times New Roman" w:hAnsi="Times New Roman" w:eastAsiaTheme="minorEastAsia"/>
          <w:b w:val="0"/>
          <w:sz w:val="24"/>
          <w:u w:val="none"/>
        </w:rPr>
        <w:t>乙方出现使用侵权纠纷、出具虚假数据或结论、不及时反馈甲方质量质询等情况时，甲方</w:t>
      </w:r>
    </w:p>
    <w:p w14:paraId="08174750">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有权采取暂停交付或取消供应商资格等措施。</w:t>
      </w:r>
    </w:p>
    <w:p w14:paraId="43CA982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Theme="minorEastAsia"/>
          <w:b w:val="0"/>
          <w:sz w:val="24"/>
        </w:rPr>
      </w:pPr>
      <w:r>
        <w:rPr>
          <w:rFonts w:ascii="Times New Roman" w:hAnsi="Times New Roman" w:eastAsiaTheme="minorEastAsia"/>
          <w:b w:val="0"/>
          <w:sz w:val="24"/>
          <w:u w:val="none"/>
        </w:rPr>
        <w:t>乙方出现弄虚作假，隐瞒重大设计缺陷、制造缺陷、质量问题或隐患，出具虚假数据或结</w:t>
      </w:r>
    </w:p>
    <w:p w14:paraId="751A0D9F">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论，产品重大质量事故隐瞒不报、谎报或故意延误报告，故意将不合格品交付，存在以次充好、</w:t>
      </w:r>
    </w:p>
    <w:p w14:paraId="3495866D">
      <w:pPr>
        <w:keepNext w:val="0"/>
        <w:keepLines w:val="0"/>
        <w:pageBreakBefore w:val="0"/>
        <w:widowControl/>
        <w:kinsoku/>
        <w:wordWrap/>
        <w:overflowPunct/>
        <w:topLinePunct w:val="0"/>
        <w:autoSpaceDE/>
        <w:autoSpaceDN/>
        <w:bidi w:val="0"/>
        <w:adjustRightInd/>
        <w:snapToGrid/>
        <w:spacing w:after="0" w:line="360" w:lineRule="auto"/>
        <w:textAlignment w:val="auto"/>
        <w:rPr>
          <w:rFonts w:ascii="Times New Roman" w:hAnsi="Times New Roman" w:eastAsiaTheme="minorEastAsia"/>
          <w:b w:val="0"/>
          <w:sz w:val="24"/>
        </w:rPr>
      </w:pPr>
      <w:r>
        <w:rPr>
          <w:rFonts w:ascii="Times New Roman" w:hAnsi="Times New Roman" w:eastAsiaTheme="minorEastAsia"/>
          <w:b w:val="0"/>
          <w:sz w:val="24"/>
          <w:u w:val="none"/>
        </w:rPr>
        <w:t>以假充真等情形时，构成犯罪的，依法追究刑事责任。</w:t>
      </w:r>
    </w:p>
    <w:sectPr>
      <w:headerReference r:id="rId5" w:type="default"/>
      <w:footerReference r:id="rId6" w:type="default"/>
      <w:pgSz w:w="11906" w:h="16838"/>
      <w:pgMar w:top="935" w:right="935" w:bottom="822" w:left="1077" w:header="482" w:footer="42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ozuka Mincho Pr6N R">
    <w:panose1 w:val="02020400000000000000"/>
    <w:charset w:val="80"/>
    <w:family w:val="auto"/>
    <w:pitch w:val="default"/>
    <w:sig w:usb0="000002D7" w:usb1="2AC71C11" w:usb2="00000012"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75EF0">
    <w:pPr>
      <w:pStyle w:val="25"/>
      <w:spacing w:before="0" w:after="0"/>
      <w:jc w:val="center"/>
    </w:pPr>
    <w:r>
      <w:rPr>
        <w:rFonts w:ascii="宋体" w:hAnsi="宋体" w:eastAsia="宋体"/>
        <w:b/>
        <w:sz w:val="21"/>
        <w:u w:val="none"/>
      </w:rPr>
      <w:t>3 /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0CC38">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8E87E4"/>
    <w:multiLevelType w:val="singleLevel"/>
    <w:tmpl w:val="938E87E4"/>
    <w:lvl w:ilvl="0" w:tentative="0">
      <w:start w:val="1"/>
      <w:numFmt w:val="decimal"/>
      <w:lvlText w:val="%1."/>
      <w:lvlJc w:val="left"/>
      <w:pPr>
        <w:ind w:left="425" w:hanging="425"/>
      </w:pPr>
      <w:rPr>
        <w:rFonts w:hint="default"/>
      </w:rPr>
    </w:lvl>
  </w:abstractNum>
  <w:abstractNum w:abstractNumId="1">
    <w:nsid w:val="9CEB0355"/>
    <w:multiLevelType w:val="multilevel"/>
    <w:tmpl w:val="9CEB0355"/>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CFDA9B1D"/>
    <w:multiLevelType w:val="multilevel"/>
    <w:tmpl w:val="CFDA9B1D"/>
    <w:lvl w:ilvl="0" w:tentative="0">
      <w:start w:val="1"/>
      <w:numFmt w:val="lowerLetter"/>
      <w:lvlText w:val="%1)"/>
      <w:lvlJc w:val="left"/>
      <w:pPr>
        <w:tabs>
          <w:tab w:val="left" w:pos="900"/>
        </w:tabs>
        <w:ind w:left="900" w:hanging="420"/>
      </w:pPr>
      <w:rPr>
        <w:rFonts w:hint="eastAsia"/>
      </w:rPr>
    </w:lvl>
    <w:lvl w:ilvl="1" w:tentative="0">
      <w:start w:val="1"/>
      <w:numFmt w:val="lowerLetter"/>
      <w:lvlText w:val="%2)"/>
      <w:lvlJc w:val="left"/>
      <w:pPr>
        <w:tabs>
          <w:tab w:val="left" w:pos="360"/>
        </w:tabs>
        <w:ind w:left="360" w:hanging="420"/>
      </w:pPr>
    </w:lvl>
    <w:lvl w:ilvl="2" w:tentative="0">
      <w:start w:val="1"/>
      <w:numFmt w:val="lowerRoman"/>
      <w:lvlText w:val="%3."/>
      <w:lvlJc w:val="right"/>
      <w:pPr>
        <w:tabs>
          <w:tab w:val="left" w:pos="780"/>
        </w:tabs>
        <w:ind w:left="780" w:hanging="420"/>
      </w:pPr>
    </w:lvl>
    <w:lvl w:ilvl="3" w:tentative="0">
      <w:start w:val="1"/>
      <w:numFmt w:val="decimal"/>
      <w:lvlText w:val="%4."/>
      <w:lvlJc w:val="left"/>
      <w:pPr>
        <w:tabs>
          <w:tab w:val="left" w:pos="1200"/>
        </w:tabs>
        <w:ind w:left="1200" w:hanging="420"/>
      </w:pPr>
    </w:lvl>
    <w:lvl w:ilvl="4" w:tentative="0">
      <w:start w:val="1"/>
      <w:numFmt w:val="lowerLetter"/>
      <w:lvlText w:val="%5)"/>
      <w:lvlJc w:val="left"/>
      <w:pPr>
        <w:tabs>
          <w:tab w:val="left" w:pos="1620"/>
        </w:tabs>
        <w:ind w:left="1620" w:hanging="420"/>
      </w:pPr>
    </w:lvl>
    <w:lvl w:ilvl="5" w:tentative="0">
      <w:start w:val="1"/>
      <w:numFmt w:val="lowerRoman"/>
      <w:lvlText w:val="%6."/>
      <w:lvlJc w:val="right"/>
      <w:pPr>
        <w:tabs>
          <w:tab w:val="left" w:pos="2040"/>
        </w:tabs>
        <w:ind w:left="2040" w:hanging="420"/>
      </w:pPr>
    </w:lvl>
    <w:lvl w:ilvl="6" w:tentative="0">
      <w:start w:val="1"/>
      <w:numFmt w:val="decimal"/>
      <w:lvlText w:val="%7."/>
      <w:lvlJc w:val="left"/>
      <w:pPr>
        <w:tabs>
          <w:tab w:val="left" w:pos="2460"/>
        </w:tabs>
        <w:ind w:left="2460" w:hanging="420"/>
      </w:pPr>
    </w:lvl>
    <w:lvl w:ilvl="7" w:tentative="0">
      <w:start w:val="1"/>
      <w:numFmt w:val="lowerLetter"/>
      <w:lvlText w:val="%8)"/>
      <w:lvlJc w:val="left"/>
      <w:pPr>
        <w:tabs>
          <w:tab w:val="left" w:pos="2880"/>
        </w:tabs>
        <w:ind w:left="2880" w:hanging="420"/>
      </w:pPr>
    </w:lvl>
    <w:lvl w:ilvl="8" w:tentative="0">
      <w:start w:val="1"/>
      <w:numFmt w:val="lowerRoman"/>
      <w:lvlText w:val="%9."/>
      <w:lvlJc w:val="right"/>
      <w:pPr>
        <w:tabs>
          <w:tab w:val="left" w:pos="3300"/>
        </w:tabs>
        <w:ind w:left="3300" w:hanging="420"/>
      </w:pPr>
    </w:lvl>
  </w:abstractNum>
  <w:abstractNum w:abstractNumId="3">
    <w:nsid w:val="D4F62AF9"/>
    <w:multiLevelType w:val="singleLevel"/>
    <w:tmpl w:val="D4F62AF9"/>
    <w:lvl w:ilvl="0" w:tentative="0">
      <w:start w:val="1"/>
      <w:numFmt w:val="decimal"/>
      <w:lvlText w:val="%1."/>
      <w:lvlJc w:val="left"/>
      <w:pPr>
        <w:ind w:left="425" w:hanging="425"/>
      </w:pPr>
      <w:rPr>
        <w:rFonts w:hint="default"/>
      </w:rPr>
    </w:lvl>
  </w:abstractNum>
  <w:abstractNum w:abstractNumId="4">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10">
    <w:nsid w:val="057D392E"/>
    <w:multiLevelType w:val="multilevel"/>
    <w:tmpl w:val="057D392E"/>
    <w:lvl w:ilvl="0" w:tentative="0">
      <w:start w:val="1"/>
      <w:numFmt w:val="lowerLetter"/>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1">
    <w:nsid w:val="18D15296"/>
    <w:multiLevelType w:val="singleLevel"/>
    <w:tmpl w:val="18D15296"/>
    <w:lvl w:ilvl="0" w:tentative="0">
      <w:start w:val="1"/>
      <w:numFmt w:val="decimal"/>
      <w:lvlText w:val="%1."/>
      <w:lvlJc w:val="left"/>
      <w:pPr>
        <w:ind w:left="425" w:hanging="425"/>
      </w:pPr>
      <w:rPr>
        <w:rFonts w:hint="default"/>
      </w:rPr>
    </w:lvl>
  </w:abstractNum>
  <w:abstractNum w:abstractNumId="12">
    <w:nsid w:val="1C1041EE"/>
    <w:multiLevelType w:val="singleLevel"/>
    <w:tmpl w:val="1C1041EE"/>
    <w:lvl w:ilvl="0" w:tentative="0">
      <w:start w:val="1"/>
      <w:numFmt w:val="decimal"/>
      <w:lvlText w:val="%1."/>
      <w:lvlJc w:val="left"/>
      <w:pPr>
        <w:ind w:left="425" w:hanging="425"/>
      </w:pPr>
      <w:rPr>
        <w:rFonts w:hint="default"/>
      </w:rPr>
    </w:lvl>
  </w:abstractNum>
  <w:abstractNum w:abstractNumId="13">
    <w:nsid w:val="22BD6C74"/>
    <w:multiLevelType w:val="singleLevel"/>
    <w:tmpl w:val="22BD6C74"/>
    <w:lvl w:ilvl="0" w:tentative="0">
      <w:start w:val="1"/>
      <w:numFmt w:val="decimal"/>
      <w:lvlText w:val="%1."/>
      <w:lvlJc w:val="left"/>
      <w:pPr>
        <w:ind w:left="425" w:hanging="425"/>
      </w:pPr>
      <w:rPr>
        <w:rFonts w:hint="default"/>
      </w:rPr>
    </w:lvl>
  </w:abstractNum>
  <w:abstractNum w:abstractNumId="14">
    <w:nsid w:val="4AA90ADE"/>
    <w:multiLevelType w:val="singleLevel"/>
    <w:tmpl w:val="4AA90ADE"/>
    <w:lvl w:ilvl="0" w:tentative="0">
      <w:start w:val="1"/>
      <w:numFmt w:val="decimal"/>
      <w:lvlText w:val="%1."/>
      <w:lvlJc w:val="left"/>
      <w:pPr>
        <w:ind w:left="425" w:hanging="425"/>
      </w:pPr>
      <w:rPr>
        <w:rFonts w:hint="default"/>
      </w:rPr>
    </w:lvl>
  </w:abstractNum>
  <w:abstractNum w:abstractNumId="15">
    <w:nsid w:val="71435EAA"/>
    <w:multiLevelType w:val="singleLevel"/>
    <w:tmpl w:val="71435EAA"/>
    <w:lvl w:ilvl="0" w:tentative="0">
      <w:start w:val="1"/>
      <w:numFmt w:val="decimal"/>
      <w:lvlText w:val="%1."/>
      <w:lvlJc w:val="left"/>
      <w:pPr>
        <w:ind w:left="425" w:hanging="425"/>
      </w:pPr>
      <w:rPr>
        <w:rFonts w:hint="default"/>
      </w:rPr>
    </w:lvl>
  </w:abstractNum>
  <w:abstractNum w:abstractNumId="16">
    <w:nsid w:val="747915C7"/>
    <w:multiLevelType w:val="singleLevel"/>
    <w:tmpl w:val="747915C7"/>
    <w:lvl w:ilvl="0" w:tentative="0">
      <w:start w:val="1"/>
      <w:numFmt w:val="decimal"/>
      <w:lvlText w:val="%1."/>
      <w:lvlJc w:val="left"/>
      <w:pPr>
        <w:ind w:left="425" w:hanging="425"/>
      </w:pPr>
      <w:rPr>
        <w:rFonts w:hint="default"/>
      </w:rPr>
    </w:lvl>
  </w:abstractNum>
  <w:num w:numId="1">
    <w:abstractNumId w:val="5"/>
  </w:num>
  <w:num w:numId="2">
    <w:abstractNumId w:val="8"/>
  </w:num>
  <w:num w:numId="3">
    <w:abstractNumId w:val="9"/>
  </w:num>
  <w:num w:numId="4">
    <w:abstractNumId w:val="6"/>
  </w:num>
  <w:num w:numId="5">
    <w:abstractNumId w:val="4"/>
  </w:num>
  <w:num w:numId="6">
    <w:abstractNumId w:val="7"/>
  </w:num>
  <w:num w:numId="7">
    <w:abstractNumId w:val="1"/>
  </w:num>
  <w:num w:numId="8">
    <w:abstractNumId w:val="0"/>
  </w:num>
  <w:num w:numId="9">
    <w:abstractNumId w:val="14"/>
  </w:num>
  <w:num w:numId="10">
    <w:abstractNumId w:val="11"/>
  </w:num>
  <w:num w:numId="11">
    <w:abstractNumId w:val="13"/>
  </w:num>
  <w:num w:numId="12">
    <w:abstractNumId w:val="15"/>
  </w:num>
  <w:num w:numId="13">
    <w:abstractNumId w:val="16"/>
  </w:num>
  <w:num w:numId="14">
    <w:abstractNumId w:val="3"/>
  </w:num>
  <w:num w:numId="15">
    <w:abstractNumId w:val="12"/>
  </w:num>
  <w:num w:numId="16">
    <w:abstractNumId w:val="1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0D65F7"/>
    <w:rsid w:val="0B6B21F5"/>
    <w:rsid w:val="17905A3A"/>
    <w:rsid w:val="1EAB0F03"/>
    <w:rsid w:val="24BB3FBB"/>
    <w:rsid w:val="33F24A86"/>
    <w:rsid w:val="35E825E5"/>
    <w:rsid w:val="3BE64ED1"/>
    <w:rsid w:val="41E9396D"/>
    <w:rsid w:val="495178AE"/>
    <w:rsid w:val="4BFB38F4"/>
    <w:rsid w:val="55436A98"/>
    <w:rsid w:val="58A03E85"/>
    <w:rsid w:val="5E0A2849"/>
    <w:rsid w:val="5E1D296A"/>
    <w:rsid w:val="637F5A87"/>
    <w:rsid w:val="6D01750D"/>
    <w:rsid w:val="736B1B84"/>
    <w:rsid w:val="75530B22"/>
    <w:rsid w:val="76D06800"/>
    <w:rsid w:val="792A61BA"/>
    <w:rsid w:val="7D0F532E"/>
    <w:rsid w:val="7D6219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qFormat="1" w:unhideWhenUsed="0" w:uiPriority="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200" w:line="276" w:lineRule="auto"/>
    </w:pPr>
    <w:rPr>
      <w:rFonts w:ascii="宋体" w:hAnsi="宋体" w:eastAsia="宋体" w:cstheme="minorBidi"/>
      <w:sz w:val="24"/>
      <w:szCs w:val="22"/>
      <w:lang w:val="en-US" w:eastAsia="en-US" w:bidi="ar-SA"/>
    </w:rPr>
  </w:style>
  <w:style w:type="paragraph" w:styleId="4">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5">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6">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Block Text"/>
    <w:basedOn w:val="1"/>
    <w:autoRedefine/>
    <w:semiHidden/>
    <w:qFormat/>
    <w:uiPriority w:val="0"/>
    <w:pPr>
      <w:spacing w:after="120"/>
      <w:ind w:left="1440" w:leftChars="700" w:right="1440" w:rightChars="700" w:firstLine="200" w:firstLineChars="200"/>
    </w:pPr>
    <w:rPr>
      <w:szCs w:val="28"/>
    </w:rPr>
  </w:style>
  <w:style w:type="paragraph" w:styleId="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3">
    <w:name w:val="List 3"/>
    <w:basedOn w:val="1"/>
    <w:unhideWhenUsed/>
    <w:uiPriority w:val="99"/>
    <w:pPr>
      <w:ind w:left="1080" w:hanging="360"/>
      <w:contextualSpacing/>
    </w:pPr>
  </w:style>
  <w:style w:type="paragraph" w:styleId="14">
    <w:name w:val="List Number 2"/>
    <w:basedOn w:val="1"/>
    <w:unhideWhenUsed/>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3"/>
      </w:numPr>
      <w:contextualSpacing/>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4"/>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5"/>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6"/>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7"/>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8"/>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9"/>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10"/>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1"/>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2"/>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4"/>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1469</Words>
  <Characters>1714</Characters>
  <Lines>0</Lines>
  <Paragraphs>0</Paragraphs>
  <TotalTime>0</TotalTime>
  <ScaleCrop>false</ScaleCrop>
  <LinksUpToDate>false</LinksUpToDate>
  <CharactersWithSpaces>1899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ZzGallagher5</cp:lastModifiedBy>
  <dcterms:modified xsi:type="dcterms:W3CDTF">2026-05-29T07:21:27Z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eyJoZGlkIjoiZjVmZTk4YzdjZTllMmUzMzhiMzhiOTMwNDA4ZmY0MGYiLCJ1c2VySWQiOiI2Mzc2OTk4MDMifQ==</vt:lpwstr>
  </property>
  <property fmtid="{D5CDD505-2E9C-101B-9397-08002B2CF9AE}" pid="3" name="KSOProductBuildVer">
    <vt:lpwstr>2052-12.1.0.25865</vt:lpwstr>
  </property>
  <property fmtid="{D5CDD505-2E9C-101B-9397-08002B2CF9AE}" pid="4" name="ICV">
    <vt:lpwstr>204F560757E442BFA33ACC9744B4EB05_13</vt:lpwstr>
  </property>
</Properties>
</file>