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w14:paraId="50F4E0A5">
        <w:tblPrEx>
          <w:tblCellMar>
            <w:top w:w="0" w:type="dxa"/>
            <w:left w:w="0" w:type="dxa"/>
            <w:bottom w:w="0" w:type="dxa"/>
            <w:right w:w="0" w:type="dxa"/>
          </w:tblCellMar>
        </w:tblPrEx>
        <w:trPr>
          <w:cantSplit/>
        </w:trPr>
        <w:tc>
          <w:tcPr>
            <w:tcW w:w="8145" w:type="dxa"/>
          </w:tcPr>
          <w:p w14: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w14:paraId="05E24A59">
        <w:tblPrEx>
          <w:tblCellMar>
            <w:top w:w="0" w:type="dxa"/>
            <w:left w:w="0" w:type="dxa"/>
            <w:bottom w:w="0" w:type="dxa"/>
            <w:right w:w="0" w:type="dxa"/>
          </w:tblCellMar>
        </w:tblPrEx>
        <w:trPr>
          <w:cantSplit/>
        </w:trPr>
        <w:tc>
          <w:tcPr>
            <w:tcW w:w="8145" w:type="dxa"/>
          </w:tcPr>
          <w:p>
            <w:r>
              <w:t>电子海图显示与信息系统</w:t>
            </w:r>
          </w:p>
        </w:tc>
      </w:tr>
      <w:tr w14:paraId="37592975">
        <w:tblPrEx>
          <w:tblCellMar>
            <w:top w:w="0" w:type="dxa"/>
            <w:left w:w="0" w:type="dxa"/>
            <w:bottom w:w="0" w:type="dxa"/>
            <w:right w:w="0" w:type="dxa"/>
          </w:tblCellMar>
        </w:tblPrEx>
        <w:trPr>
          <w:cantSplit/>
        </w:trPr>
        <w:tc>
          <w:tcPr>
            <w:tcW w:w="8145" w:type="dxa"/>
          </w:tcPr>
          <w:p w14: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w14: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bookmarkStart w:id="71" w:name="_GoBack"/>
      <w:bookmarkEnd w:id="71"/>
      <w:r>
        <w:rPr>
          <w:rFonts w:ascii="仿宋" w:hAnsi="仿宋" w:eastAsia="仿宋"/>
          <w:sz w:val="28"/>
        </w:rPr>
        <mc:AlternateContent>
          <mc: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989455" cy="1219200"/>
                        </a:xfrm>
                        <a:prstGeom prst="rect">
                          <a:avLst/>
                        </a:prstGeom>
                        <a:solidFill>
                          <a:srgbClr val="FFFFFF"/>
                        </a:solidFill>
                        <a:ln>
                          <a:noFill/>
                        </a:ln>
                      </wps:spPr>
                      <wps:txbx>
                        <w:txbxContent>
                          <w:p w14: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w14: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w14:paraId="53EF5DA1"/>
                        </w:txbxContent>
                      </wps:txbx>
                      <wps:bodyPr rot="0" vert="horz" wrap="square" lIns="91440" tIns="45720" rIns="91440" bIns="45720" anchor="t" anchorCtr="0" upright="1">
                        <a:noAutofit/>
                      </wps:bodyPr>
                    </wps:wsp>
                  </a:graphicData>
                </a:graphic>
              </wp:anchor>
            </w:drawing>
          </mc:Choice>
          <mc:Fallback>
            <w:pict>
              <v:shape id="文本框 4" o:spid="_x0000_s1026" o:spt="202" type="#_x0000_t202" style="position:absolute;left:0pt;margin-left:263.6pt;margin-top:10.55pt;height:96pt;width:156.65pt;z-index:251660288;mso-width-relative:page;mso-height-relative:page;" fillcolor="#FFFFFF" filled="t" stroked="f" coordsize="21600,21600" o: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v:fill on="t" focussize="0,0"/>
                <v:stroke on="f"/>
                <v:imagedata o:title=""/>
                <o:lock v:ext="edit" aspectratio="f"/>
                <v:textbox>
                  <w:txbxContent>
                    <w:p w14: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w14: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w14:paraId="53EF5DA1"/>
                  </w:txbxContent>
                </v:textbox>
              </v:shape>
            </w:pict>
          </mc:Fallback>
        </mc:AlternateContent>
      </w:r>
      <w:r>
        <w:rPr>
          <w:rFonts w:ascii="仿宋" w:hAnsi="仿宋" w:eastAsia="仿宋"/>
          <w:sz w:val="28"/>
        </w:rPr>
        <mc:AlternateContent>
          <mc: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924810" cy="1551940"/>
                        </a:xfrm>
                        <a:prstGeom prst="rect">
                          <a:avLst/>
                        </a:prstGeom>
                        <a:solidFill>
                          <a:srgbClr val="FFFFFF"/>
                        </a:solidFill>
                        <a:ln>
                          <a:noFill/>
                        </a:ln>
                      </wps:spPr>
                      <wps:txbx>
                        <w:txbxContent>
                          <w:p w14: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w14: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w14: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70" w:name="sig_VERSION"/>
                            <w:bookmarkEnd w:id="70"/>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wps:txbx>
                      <wps:bodyPr rot="0" vert="horz" wrap="square" lIns="91440" tIns="45720" rIns="91440" bIns="45720" anchor="t" anchorCtr="0" upright="1">
                        <a:noAutofit/>
                      </wps:bodyPr>
                    </wps:wsp>
                  </a:graphicData>
                </a:graphic>
              </wp:anchor>
            </w:drawing>
          </mc:Choice>
          <mc:Fallback>
            <w:pict>
              <v:shape id="文本框 1" o:spid="_x0000_s1026" o:spt="202" type="#_x0000_t202" style="position:absolute;left:0pt;margin-left:18.35pt;margin-top:3.85pt;height:122.2pt;width:230.3pt;z-index:251659264;mso-width-relative:page;mso-height-relative:page;" fillcolor="#FFFFFF" filled="t" stroked="f" coordsize="21600,21600" o: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v:fill on="t" focussize="0,0"/>
                <v:stroke on="f"/>
                <v:imagedata o:title=""/>
                <o:lock v:ext="edit" aspectratio="f"/>
                <v:textbox>
                  <w:txbxContent>
                    <w:p w14: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w14: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w14: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70" w:name="sig_VERSION"/>
                      <w:bookmarkEnd w:id="70"/>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v:textbox>
              </v:shape>
            </w:pict>
          </mc:Fallback>
        </mc:AlternateContent>
      </w:r>
      <w:r>
        <w:rPr>
          <w:rFonts w:ascii="仿宋" w:hAnsi="仿宋" w:eastAsia="仿宋"/>
        </w:rPr>
        <mc:AlternateContent>
          <mc: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xmlns:a="http://schemas.openxmlformats.org/drawingml/2006/main">
                  <a:graphicData uri="http://schemas.microsoft.com/office/word/2010/wordprocessingShape">
                    <wps:wsp>
                      <wps:cNvSpPr txBox="1">
                        <a:spLocks noChangeArrowheads="1"/>
                      </wps:cNvSpPr>
                      <wps:spPr bwMode="auto">
                        <a:xfrm>
                          <a:off x="0" y="0"/>
                          <a:ext cx="4057015" cy="3639820"/>
                        </a:xfrm>
                        <a:prstGeom prst="rect">
                          <a:avLst/>
                        </a:prstGeom>
                        <a:solidFill>
                          <a:srgbClr val="FFFFFF"/>
                        </a:solidFill>
                        <a:ln w="9525">
                          <a:solidFill>
                            <a:srgbClr val="FFFFFF"/>
                          </a:solidFill>
                          <a:miter lim="800000"/>
                        </a:ln>
                      </wps:spPr>
                      <wps:txbx>
                        <w:txbxContent>
                          <w:p w14: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投标人名称待确认  </w:t>
                            </w:r>
                          </w:p>
                          <w:p w14: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w14: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w14: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wps:txbx>
                      <wps:bodyPr rot="0" vert="horz" wrap="square" lIns="91440" tIns="45720" rIns="91440" bIns="45720" anchor="t" anchorCtr="0" upright="1">
                        <a:noAutofit/>
                      </wps:bodyPr>
                    </wps:wsp>
                  </a:graphicData>
                </a:graphic>
              </wp:anchor>
            </w:drawing>
          </mc:Choice>
          <mc:Fallback>
            <w:pict>
              <v:shape id="文本框 3" o:spid="_x0000_s1026" o:spt="202" type="#_x0000_t202" style="position:absolute;left:0pt;margin-left:58.5pt;margin-top:317pt;height:286.6pt;width:319.45pt;mso-wrap-distance-bottom:0pt;mso-wrap-distance-top:0pt;z-index:251661312;mso-width-relative:page;mso-height-relative:page;" fillcolor="#FFFFFF" filled="t" stroked="t" coordsize="21600,21600" o: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v:fill on="t" focussize="0,0"/>
                <v:stroke color="#FFFFFF" miterlimit="8" joinstyle="miter"/>
                <v:imagedata o:title=""/>
                <o:lock v:ext="edit" aspectratio="f"/>
                <v:textbox>
                  <w:txbxContent>
                    <w:p w14: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投标人名称待确认  </w:t>
                      </w:r>
                    </w:p>
                    <w:p w14: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w14: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w14: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v:textbox>
                <w10:wrap type="topAndBottom"/>
              </v:shape>
            </w:pict>
          </mc:Fallback>
        </mc:AlternateContent>
      </w:r>
      <w:r>
        <w:rPr>
          <w:rFonts w:ascii="仿宋" w:hAnsi="仿宋" w:eastAsia="仿宋"/>
        </w:rPr>
        <mc:AlternateContent>
          <mc: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891280" cy="447675"/>
                        </a:xfrm>
                        <a:prstGeom prst="rect">
                          <a:avLst/>
                        </a:prstGeom>
                        <a:noFill/>
                        <a:ln>
                          <a:noFill/>
                        </a:ln>
                      </wps:spPr>
                      <wps:txbx>
                        <w:txbxContent>
                          <w:p w14:paraId="09A08CF8">
                            <w:pPr>
                              <w:pStyle w:val="65"/>
                              <w:jc w:val="center"/>
                              <w:rPr>
                                <w:rFonts w:hint="eastAsia" w:ascii="宋体" w:hAnsi="宋体" w:cs="宋体"/>
                                <w:b w:val="0"/>
                                <w:szCs w:val="32"/>
                              </w:rPr>
                            </w:pPr>
                            <w:r>
                              <w:rPr>
                                <w:rFonts w:hint="eastAsia" w:ascii="宋体" w:hAnsi="宋体" w:cs="宋体"/>
                                <w:b w:val="0"/>
                                <w:szCs w:val="32"/>
                              </w:rPr>
                              <w:t>投标人名称待确认</w:t>
                            </w:r>
                          </w:p>
                          <w:p w14:paraId="6F4CCABA">
                            <w:pPr>
                              <w:jc w:val="center"/>
                            </w:pP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64pt;margin-top:637.5pt;height:35.25pt;width:306.4pt;z-index:251662336;mso-width-relative:page;mso-height-relative:page;" filled="f" stroked="f" coordsize="21600,21600" o: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v:fill on="f" focussize="0,0"/>
                <v:stroke on="f"/>
                <v:imagedata o:title=""/>
                <o:lock v:ext="edit" aspectratio="f"/>
                <v:textbox inset="0mm,0mm,0mm,0mm">
                  <w:txbxContent>
                    <w:p w14:paraId="09A08CF8">
                      <w:pPr>
                        <w:pStyle w:val="65"/>
                        <w:jc w:val="center"/>
                        <w:rPr>
                          <w:rFonts w:hint="eastAsia" w:ascii="宋体" w:hAnsi="宋体" w:cs="宋体"/>
                          <w:b w:val="0"/>
                          <w:szCs w:val="32"/>
                        </w:rPr>
                      </w:pPr>
                      <w:r>
                        <w:rPr>
                          <w:rFonts w:hint="eastAsia" w:ascii="宋体" w:hAnsi="宋体" w:cs="宋体"/>
                          <w:b w:val="0"/>
                          <w:szCs w:val="32"/>
                        </w:rPr>
                        <w:t>投标人名称待确认</w:t>
                      </w:r>
                    </w:p>
                    <w:p w14:paraId="6F4CCABA">
                      <w:pPr>
                        <w:jc w:val="center"/>
                      </w:pPr>
                    </w:p>
                  </w:txbxContent>
                </v:textbox>
              </v:shape>
            </w:pict>
          </mc:Fallback>
        </mc:AlternateContent>
      </w:r>
    </w:p>
    <w:p w14:paraId="6A609F38">
      <w:pPr>
        <w:tabs>
          <w:tab w:val="left" w:pos="709"/>
        </w:tabs>
      </w:pPr>
      <w:bookmarkStart w:id="0" w:name="_Toc15125"/>
    </w:p>
    <w:p w14:paraId="0722E6FD">
      <w:pPr>
        <w:tabs>
          <w:tab w:val="left" w:pos="709"/>
        </w:tabs>
      </w:pPr>
    </w:p>
    <w:p w14: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ascii="仿宋" w:hAnsi="仿宋" w:eastAsia="仿宋"/>
        </w:rPr>
        <w:tab/>
      </w:r>
    </w:p>
    <w:bookmarkEnd w:id="0"/>
    <w:p w14:paraId="16EE665A">
      <w:pPr>
        <w:spacing w:line="360" w:lineRule="auto"/>
        <w:ind w:firstLine="560"/>
        <w:jc w:val="center"/>
        <w:rPr>
          <w:rFonts w:hint="eastAsia" w:ascii="黑体" w:hAnsi="黑体" w:eastAsia="黑体" w:cs="黑体"/>
          <w:sz w:val="28"/>
          <w:szCs w:val="21"/>
        </w:rPr>
      </w:pPr>
      <w:r>
        <w:rPr>
          <w:rFonts w:hint="eastAsia" w:ascii="仿宋" w:hAnsi="仿宋" w:eastAsia="仿宋" w:cs="黑体"/>
          <w:b w:val="0"/>
          <w:sz w:val="24"/>
          <w:szCs w:val="21"/>
          <w:lang w:val="en-US" w:eastAsia="zh-CN"/>
        </w:rPr>
        <w:t>电子海图显示与信息系统设计方案报告</w:t>
      </w:r>
      <w:r>
        <w:rPr>
          <w:rFonts w:hint="eastAsia" w:ascii="仿宋" w:hAnsi="仿宋" w:eastAsia="仿宋" w:cs="黑体"/>
          <w:sz w:val="24"/>
          <w:szCs w:val="21"/>
        </w:rPr>
      </w:r>
    </w:p>
    <w:p w14: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Calibri"/>
          <w:bCs/>
          <w:kern w:val="44"/>
          <w:sz w:val="30"/>
          <w:szCs w:val="44"/>
        </w:rPr>
        <w:t>概述</w:t>
      </w:r>
      <w:bookmarkEnd w:id="1"/>
    </w:p>
    <w:p w14: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14:paraId="04359E4E">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default" w:ascii="仿宋" w:hAnsi="仿宋" w:eastAsia="仿宋" w:cs="Times New Roman"/>
          <w:b w:val="0"/>
          <w:kern w:val="2"/>
          <w:sz w:val="24"/>
          <w:szCs w:val="24"/>
          <w:lang w:val="en-US" w:eastAsia="zh-CN" w:bidi="ar-SA"/>
          <w14:ligatures w14:val="standardContextual"/>
        </w:rPr>
        <w:t>本设计方案报告用于响应电子海图显示与信息系统项目技术要求、商务要求和技术评分要求，明确系统建设目标、总体架构、功能设计、性能设计、数据库设计、质量控制、实施保障和培训服务安排。文档以招标文件提出的标准符合性、电子海图处理、航行监控、安全告警、数据接口、国产化运行环境和软件工程文档要求为依据，形成可用于投标文件技术方案部分的初稿，为后续深化设计、合同履约、系统开发、集成联调和验收交付提供统一的方案基础。</w:t>
      </w:r>
      <w:r>
        <w:rPr>
          <w:rFonts w:hint="eastAsia" w:ascii="仿宋" w:hAnsi="仿宋" w:eastAsia="仿宋" w:cs="Times New Roman"/>
          <w:kern w:val="2"/>
          <w:sz w:val="24"/>
          <w:szCs w:val="24"/>
          <w:lang w:val="en-US" w:eastAsia="zh-CN" w:bidi="ar-SA"/>
          <w14:ligatures w14:val="standardContextual"/>
        </w:rPr>
      </w:r>
      <w:r>
        <w:rPr>
          <w:rFonts w:hint="default" w:ascii="仿宋" w:hAnsi="仿宋" w:eastAsia="仿宋" w:cs="Times New Roman"/>
          <w:kern w:val="2"/>
          <w:sz w:val="24"/>
          <w:szCs w:val="24"/>
          <w:lang w:val="en-US" w:eastAsia="zh-CN" w:bidi="ar-SA"/>
          <w14:ligatures w14:val="standardContextual"/>
        </w:rPr>
      </w:r>
    </w:p>
    <w:p w14: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Ref8741"/>
      <w:bookmarkStart w:id="6" w:name="_Toc22801"/>
      <w:r>
        <w:rPr>
          <w:rFonts w:hint="eastAsia" w:ascii="黑体" w:hAnsi="黑体" w:eastAsia="黑体" w:cs="黑体"/>
          <w:sz w:val="28"/>
          <w:szCs w:val="32"/>
          <w:lang w:val="en-US" w:eastAsia="zh-CN"/>
        </w:rPr>
        <w:t>建设内容</w:t>
      </w:r>
      <w:bookmarkEnd w:id="4"/>
      <w:bookmarkEnd w:id="5"/>
      <w:bookmarkEnd w:id="6"/>
    </w:p>
    <w:p w14:paraId="4279C183">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w14:ligatures w14:val="standardContextual"/>
        </w:rPr>
      </w:pPr>
      <w:r>
        <w:rPr>
          <w:rFonts w:hint="default" w:ascii="仿宋" w:hAnsi="仿宋" w:eastAsia="仿宋" w:cs="Times New Roman"/>
          <w:b w:val="0"/>
          <w:kern w:val="2"/>
          <w:sz w:val="24"/>
          <w:szCs w:val="24"/>
          <w:lang w:val="en-US" w:eastAsia="zh-CN" w:bidi="ar-SA"/>
          <w14:ligatures w14:val="standardContextual"/>
        </w:rPr>
        <w:t>本项目建设内容围绕电子海图显示与信息系统的软件研制、集成部署和运行保障展开，重点包括标准电子海图接入与显示、AIS/雷达/ARPA目标融合、航线规划与安全检查、安全等深线和水深告警、航行监控与多级预警、个性化人机交互、跨平台国产化部署、多设备协同、海图数据更新、航行记录存储、外部接口集成、系统安全防护、性能优化、测试验证、交付验收、培训和售后服务等内容。系统交付物应覆盖软件源代码、可执行文件、部署运维指南、按GJB438C-2021形成的技术文档以及用户使用资料。</w:t>
      </w:r>
      <w:r>
        <w:rPr>
          <w:rFonts w:hint="eastAsia" w:ascii="仿宋" w:hAnsi="仿宋" w:eastAsia="仿宋" w:cs="Times New Roman"/>
          <w:kern w:val="2"/>
          <w:sz w:val="24"/>
          <w:szCs w:val="24"/>
          <w:lang w:val="en-US" w:eastAsia="zh-CN" w:bidi="ar-SA"/>
          <w14:ligatures w14:val="standardContextual"/>
        </w:rPr>
      </w:r>
      <w:r>
        <w:rPr>
          <w:rFonts w:hint="default" w:ascii="仿宋" w:hAnsi="仿宋" w:eastAsia="仿宋" w:cs="Times New Roman"/>
          <w:kern w:val="2"/>
          <w:sz w:val="24"/>
          <w:szCs w:val="24"/>
          <w:lang w:val="en-US" w:eastAsia="zh-CN" w:bidi="ar-SA"/>
          <w14:ligatures w14:val="standardContextual"/>
        </w:rPr>
      </w:r>
    </w:p>
    <w:p w14: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13326"/>
      <w:bookmarkStart w:id="8" w:name="_Ref3127"/>
      <w:bookmarkStart w:id="9" w:name="_Ref1416"/>
      <w:bookmarkStart w:id="10" w:name="_Toc2684"/>
      <w:r>
        <w:rPr>
          <w:rFonts w:hint="eastAsia" w:ascii="黑体" w:hAnsi="黑体" w:eastAsia="黑体" w:cs="黑体"/>
          <w:sz w:val="28"/>
          <w:szCs w:val="32"/>
          <w:lang w:val="en-US" w:eastAsia="zh-CN"/>
        </w:rPr>
        <w:t>编写依据</w:t>
      </w:r>
      <w:bookmarkEnd w:id="7"/>
      <w:bookmarkEnd w:id="8"/>
      <w:bookmarkEnd w:id="9"/>
      <w:bookmarkEnd w:id="10"/>
    </w:p>
    <w:p w14: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Times New Roman" w:cs="Times New Roman"/>
          <w:kern w:val="2"/>
          <w:sz w:val="24"/>
          <w:szCs w:val="24"/>
          <w:lang w:val="en-US" w:eastAsia="zh-CN" w:bidi="ar-SA"/>
          <w14:ligatures w14:val="standardContextual"/>
        </w:rPr>
        <w:t>引用规范和标准如下所示。</w:t>
      </w:r>
    </w:p>
    <w:p w14: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w14:ligatures w14:val="none"/>
        </w:rPr>
      </w:pPr>
      <w:r>
        <w:rPr>
          <w:rFonts w:hint="eastAsia" w:ascii="Times New Roman" w:hAnsi="Times New Roman" w:eastAsia="Times New Roman" w:cs="Times New Roman"/>
          <w:color w:val="auto"/>
          <w:sz w:val="24"/>
          <w:szCs w:val="24"/>
          <w:lang w:val="en-US" w:eastAsia="zh-CN"/>
          <w14:ligatures w14: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w14: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w14:paraId="7B362AF5">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bookmarkStart w:id="11" w:name="_Hlk205283058"/>
            <w:r>
              <w:rPr>
                <w:rFonts w:hint="eastAsia" w:ascii="Times New Roman" w:hAnsi="Times New Roman" w:eastAsia="宋体" w:cs="Times New Roman"/>
                <w:b/>
                <w:bCs/>
                <w:szCs w:val="24"/>
                <w:lang w:bidi="ar"/>
                <w14:ligatures w14:val="none"/>
              </w:rPr>
              <w:t>序 号</w:t>
            </w:r>
          </w:p>
        </w:tc>
        <w:tc>
          <w:tcPr>
            <w:tcW w:w="1315" w:type="pct"/>
            <w:tcBorders>
              <w:top w:val="single" w:color="000000" w:sz="12" w:space="0"/>
              <w:left w:val="nil"/>
              <w:bottom w:val="single" w:color="000000" w:sz="12" w:space="0"/>
              <w:right w:val="single" w:color="000000" w:sz="8" w:space="0"/>
            </w:tcBorders>
            <w:vAlign w:val="center"/>
          </w:tcPr>
          <w:p w14:paraId="4D5EC2C8">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标  识</w:t>
            </w:r>
          </w:p>
        </w:tc>
        <w:tc>
          <w:tcPr>
            <w:tcW w:w="2681" w:type="pct"/>
            <w:tcBorders>
              <w:top w:val="single" w:color="000000" w:sz="12" w:space="0"/>
              <w:left w:val="nil"/>
              <w:bottom w:val="single" w:color="000000" w:sz="12" w:space="0"/>
              <w:right w:val="single" w:color="000000" w:sz="8" w:space="0"/>
            </w:tcBorders>
            <w:vAlign w:val="center"/>
          </w:tcPr>
          <w:p w14:paraId="05B1D7D9">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名  称</w:t>
            </w:r>
          </w:p>
        </w:tc>
        <w:tc>
          <w:tcPr>
            <w:tcW w:w="566" w:type="pct"/>
            <w:tcBorders>
              <w:top w:val="single" w:color="000000" w:sz="12" w:space="0"/>
              <w:left w:val="nil"/>
              <w:bottom w:val="single" w:color="000000" w:sz="12" w:space="0"/>
              <w:right w:val="single" w:color="000000" w:sz="12" w:space="0"/>
            </w:tcBorders>
            <w:vAlign w:val="center"/>
          </w:tcPr>
          <w:p w14:paraId="2A76FC5C">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版 本</w:t>
            </w:r>
          </w:p>
        </w:tc>
      </w:tr>
      <w:tr w14: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w14: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w14: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w:r>
              <w:t>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w14: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r>
      <w:tr w14: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w:r>
              <w:t>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w14: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r>
      <w:tr w14: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2017</w:t>
            </w:r>
          </w:p>
        </w:tc>
      </w:tr>
      <w:tr w14: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2021</w:t>
            </w:r>
          </w:p>
        </w:tc>
      </w:tr>
      <w:tr w14: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341D014B">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2018</w:t>
            </w:r>
          </w:p>
        </w:tc>
      </w:tr>
      <w:tr w14: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22662222">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2022</w:t>
            </w:r>
          </w:p>
        </w:tc>
      </w:tr>
      <w:tr w14: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8A2BB9F">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2013</w:t>
            </w:r>
          </w:p>
        </w:tc>
      </w:tr>
      <w:tr w14: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w14:ligatures w14:val="none"/>
              </w:rPr>
            </w:pPr>
            <w:r>
              <w:rPr>
                <w:rFonts w:hint="eastAsia" w:ascii="Times New Roman" w:hAnsi="Times New Roman" w:eastAsia="宋体" w:cs="宋体"/>
                <w:szCs w:val="24"/>
                <w14:ligatures w14: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2024</w:t>
            </w:r>
          </w:p>
        </w:tc>
      </w:tr>
      <w:tr w14: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2021</w:t>
            </w:r>
          </w:p>
        </w:tc>
      </w:tr>
      <w:tr w14: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eastAsia="宋体" w:cs="Times New Roman"/>
                <w:szCs w:val="24"/>
                <w:lang w:val="en-US" w:eastAsia="zh-CN" w:bidi="ar"/>
                <w14:ligatures w14:val="none"/>
              </w:rPr>
              <w:t>2009</w:t>
            </w:r>
          </w:p>
        </w:tc>
      </w:tr>
      <w:tr w14: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w:t>
            </w:r>
            <w:r>
              <w:rPr>
                <w:rFonts w:hint="eastAsia" w:ascii="Times New Roman" w:hAnsi="Times New Roman" w:eastAsia="宋体" w:cs="Times New Roman"/>
                <w:szCs w:val="24"/>
                <w:lang w:val="en-US" w:eastAsia="zh-CN" w:bidi="ar"/>
                <w14:ligatures w14:val="none"/>
              </w:rPr>
              <w:t xml:space="preserve"> </w:t>
            </w:r>
            <w:r>
              <w:rPr>
                <w:rFonts w:hint="eastAsia" w:ascii="Times New Roman" w:hAnsi="Times New Roman" w:eastAsia="宋体" w:cs="Times New Roman"/>
                <w:szCs w:val="24"/>
                <w:lang w:bidi="ar"/>
                <w14:ligatures w14: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2021</w:t>
            </w:r>
          </w:p>
        </w:tc>
      </w:tr>
      <w:tr w14: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kern w:val="2"/>
                <w:sz w:val="24"/>
                <w:szCs w:val="24"/>
                <w:lang w:val="en-US" w:eastAsia="zh-CN" w:bidi="ar"/>
                <w14:ligatures w14:val="none"/>
              </w:rPr>
              <w:t>GJB 5711</w:t>
            </w:r>
            <w:r>
              <w:rPr>
                <w:rFonts w:hint="eastAsia" w:eastAsia="宋体" w:cs="Times New Roman"/>
                <w:kern w:val="2"/>
                <w:sz w:val="24"/>
                <w:szCs w:val="24"/>
                <w:lang w:val="en-US" w:eastAsia="zh-CN" w:bidi="ar"/>
                <w14:ligatures w14:val="none"/>
              </w:rPr>
              <w:t>A</w:t>
            </w:r>
            <w:r>
              <w:rPr>
                <w:rFonts w:hint="eastAsia" w:ascii="Times New Roman" w:hAnsi="Times New Roman" w:eastAsia="宋体" w:cs="Times New Roman"/>
                <w:kern w:val="2"/>
                <w:sz w:val="24"/>
                <w:szCs w:val="24"/>
                <w:lang w:val="en-US" w:eastAsia="zh-CN" w:bidi="ar"/>
                <w14:ligatures w14:val="none"/>
              </w:rPr>
              <w:t>-20</w:t>
            </w:r>
            <w:r>
              <w:rPr>
                <w:rFonts w:hint="eastAsia" w:eastAsia="宋体" w:cs="Times New Roman"/>
                <w:kern w:val="2"/>
                <w:sz w:val="24"/>
                <w:szCs w:val="24"/>
                <w:lang w:val="en-US" w:eastAsia="zh-CN" w:bidi="ar"/>
                <w14:ligatures w14: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eastAsia="宋体" w:cs="Times New Roman"/>
                <w:kern w:val="2"/>
                <w:sz w:val="24"/>
                <w:szCs w:val="24"/>
                <w:lang w:val="en-US" w:eastAsia="zh-CN" w:bidi="ar"/>
                <w14:ligatures w14:val="none"/>
              </w:rPr>
              <w:t>装备</w:t>
            </w:r>
            <w:r>
              <w:rPr>
                <w:rFonts w:hint="eastAsia" w:ascii="Times New Roman" w:hAnsi="Times New Roman" w:eastAsia="宋体" w:cs="Times New Roman"/>
                <w:kern w:val="2"/>
                <w:sz w:val="24"/>
                <w:szCs w:val="24"/>
                <w:lang w:val="en-US" w:eastAsia="zh-CN" w:bidi="ar"/>
                <w14:ligatures w14: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kern w:val="2"/>
                <w:sz w:val="24"/>
                <w:szCs w:val="24"/>
                <w:lang w:val="en-US" w:eastAsia="zh-CN" w:bidi="ar"/>
                <w14:ligatures w14:val="none"/>
              </w:rPr>
              <w:t>2006</w:t>
            </w:r>
          </w:p>
        </w:tc>
      </w:tr>
      <w:tr w14: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2013</w:t>
            </w:r>
          </w:p>
        </w:tc>
      </w:tr>
      <w:tr w14: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w14: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w14:paraId="6A2B87C6">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2022</w:t>
            </w:r>
          </w:p>
        </w:tc>
      </w:tr>
      <w:tr w14: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w14:ligatures w14:val="none"/>
              </w:rPr>
            </w:pPr>
            <w:r>
              <w:rPr>
                <w:rFonts w:hint="eastAsia" w:ascii="Times New Roman" w:hAnsi="Times New Roman" w:eastAsia="宋体" w:cs="宋体"/>
                <w:szCs w:val="24"/>
                <w14:ligatures w14: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2022</w:t>
            </w:r>
          </w:p>
        </w:tc>
      </w:tr>
      <w:tr w14: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w14:paraId="572C3AF5">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2009</w:t>
            </w:r>
          </w:p>
        </w:tc>
      </w:tr>
      <w:tr w14: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w14:paraId="44196FD8">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2021</w:t>
            </w:r>
          </w:p>
        </w:tc>
      </w:tr>
      <w:tr w14: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w14:paraId="4BFF1912">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2024</w:t>
            </w:r>
          </w:p>
        </w:tc>
      </w:tr>
      <w:tr w14: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w14:paraId="0B7428F8">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2024</w:t>
            </w:r>
          </w:p>
        </w:tc>
      </w:tr>
      <w:tr w14: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宋体"/>
                <w:szCs w:val="24"/>
                <w14:ligatures w14: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2006</w:t>
            </w:r>
          </w:p>
        </w:tc>
      </w:tr>
      <w:tr w14: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w14:paraId="023F05EF">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2022</w:t>
            </w:r>
          </w:p>
        </w:tc>
      </w:tr>
      <w:tr w14: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EFA4FD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w14:paraId="6883C85F">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2E46D72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2007</w:t>
            </w:r>
          </w:p>
        </w:tc>
      </w:tr>
      <w:tr w14: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7334BF1">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w14:paraId="41B9FF0C">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w14:paraId="2B2D202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2008</w:t>
            </w:r>
          </w:p>
        </w:tc>
      </w:tr>
      <w:tr w14: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7ACD0A4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w14:paraId="4BA31DA6">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58ACD3A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2006</w:t>
            </w:r>
          </w:p>
        </w:tc>
      </w:tr>
      <w:tr w14: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E8FB90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ascii="Times New Roman" w:hAnsi="Times New Roman" w:eastAsia="宋体" w:cs="宋体"/>
                <w:kern w:val="0"/>
                <w:szCs w:val="24"/>
                <w14:ligatures w14:val="none"/>
              </w:rPr>
              <w:t>GJB</w:t>
            </w:r>
            <w:r>
              <w:rPr>
                <w:rFonts w:hint="eastAsia" w:ascii="Times New Roman" w:hAnsi="Times New Roman" w:eastAsia="宋体" w:cs="宋体"/>
                <w:kern w:val="0"/>
                <w:szCs w:val="24"/>
                <w14:ligatures w14:val="none"/>
              </w:rPr>
              <w:t>/</w:t>
            </w:r>
            <w:r>
              <w:rPr>
                <w:rFonts w:ascii="Times New Roman" w:hAnsi="Times New Roman" w:eastAsia="宋体" w:cs="宋体"/>
                <w:kern w:val="0"/>
                <w:szCs w:val="24"/>
                <w14:ligatures w14: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w14:paraId="504FE200">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6D55F02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ascii="Times New Roman" w:hAnsi="Times New Roman" w:eastAsia="宋体" w:cs="宋体"/>
                <w:kern w:val="0"/>
                <w:szCs w:val="24"/>
                <w14:ligatures w14:val="none"/>
              </w:rPr>
              <w:t>2013</w:t>
            </w:r>
          </w:p>
        </w:tc>
      </w:tr>
      <w:tr w14: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373DDE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14:ligatures w14:val="none"/>
              </w:rPr>
              <w:t>GJB</w:t>
            </w:r>
            <w:r>
              <w:rPr>
                <w:rFonts w:hint="eastAsia" w:ascii="Times New Roman" w:hAnsi="Times New Roman" w:eastAsia="宋体" w:cs="Times New Roman"/>
                <w:szCs w:val="24"/>
                <w:lang w:val="en-US" w:eastAsia="zh-CN"/>
                <w14:ligatures w14:val="none"/>
              </w:rPr>
              <w:t xml:space="preserve"> </w:t>
            </w:r>
            <w:r>
              <w:rPr>
                <w:rFonts w:hint="eastAsia" w:ascii="Times New Roman" w:hAnsi="Times New Roman" w:eastAsia="宋体" w:cs="Times New Roman"/>
                <w:szCs w:val="24"/>
                <w14:ligatures w14: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w14:paraId="6DA05366">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Times New Roman"/>
                <w:szCs w:val="24"/>
                <w14:ligatures w14: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650D952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14:ligatures w14:val="none"/>
              </w:rPr>
              <w:t>1997</w:t>
            </w:r>
          </w:p>
        </w:tc>
      </w:tr>
      <w:tr w14: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20CFA9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2F92CF9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w14:paraId="7611CB9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9638AB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04A6B19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333CB7F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5FAC72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65D9B6C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152A3C5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1158A0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w14:paraId="180EE70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w14:paraId="7844A67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1994</w:t>
            </w:r>
          </w:p>
        </w:tc>
      </w:tr>
      <w:tr w14: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70DAFD8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w14:paraId="1A4B876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01B807F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1998</w:t>
            </w:r>
          </w:p>
        </w:tc>
      </w:tr>
      <w:tr w14: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6C7EBF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w14:paraId="0330972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2FF78CA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2015</w:t>
            </w:r>
          </w:p>
        </w:tc>
      </w:tr>
      <w:tr w14: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539167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w14:paraId="76564B5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0D6F4D91">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2021</w:t>
            </w:r>
          </w:p>
        </w:tc>
      </w:tr>
      <w:tr w14: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704C35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0AE271D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4328BD9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276D10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61DEF65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w14:paraId="09318D9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D0B977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w14:paraId="094BDA8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w14:paraId="443D1D1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1996</w:t>
            </w:r>
          </w:p>
        </w:tc>
      </w:tr>
      <w:tr w14: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8781FC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w14:paraId="3EF013C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5F248A6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2020</w:t>
            </w:r>
          </w:p>
        </w:tc>
      </w:tr>
      <w:tr w14: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12A9041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75864AB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w14:paraId="4B132AE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4CAAB9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w14:paraId="745EFB1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879D16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2006</w:t>
            </w:r>
          </w:p>
        </w:tc>
      </w:tr>
      <w:tr w14: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AF5CEA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53A3A6E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w14:paraId="4C38116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AD5ED4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w14:paraId="2799764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w14:paraId="4C89064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2013</w:t>
            </w:r>
          </w:p>
        </w:tc>
      </w:tr>
      <w:tr w14: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457A87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178277C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3B8BF60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440469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2140D7B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1AB35B2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3996C11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606BBC4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6EF588EE">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3FECBB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w14:paraId="67F428F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w14:paraId="2143477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2008</w:t>
            </w:r>
          </w:p>
        </w:tc>
      </w:tr>
      <w:tr w14: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497E17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1867E6C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2517059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3835777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w14:paraId="60FCC6B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03CCFBB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1995</w:t>
            </w:r>
          </w:p>
        </w:tc>
      </w:tr>
      <w:tr w14: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97A030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w14:paraId="29D2E60E">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214C075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1998</w:t>
            </w:r>
          </w:p>
        </w:tc>
      </w:tr>
      <w:bookmarkEnd w:id="11"/>
    </w:tbl>
    <w:p w14: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w14:ligatures w14:val="none"/>
        </w:rPr>
      </w:pPr>
    </w:p>
    <w:p w14: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Calibri"/>
          <w:bCs/>
          <w:kern w:val="44"/>
          <w:sz w:val="30"/>
          <w:szCs w:val="44"/>
        </w:rPr>
        <w:t>需求分析</w:t>
      </w:r>
      <w:bookmarkEnd w:id="12"/>
    </w:p>
    <w:p w14: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14:paraId="4E6D7B10">
      <w:pPr>
        <w:spacing w:line="360" w:lineRule="auto"/>
        <w:ind w:firstLine="480" w:firstLineChars="200"/>
        <w:rPr>
          <w:rFonts w:hint="eastAsia"/>
          <w:lang w:val="en-US" w:eastAsia="zh-CN"/>
        </w:rPr>
      </w:pPr>
      <w:r>
        <w:rPr>
          <w:rFonts w:hint="eastAsia" w:ascii="仿宋" w:hAnsi="仿宋" w:eastAsia="仿宋"/>
          <w:b w:val="0"/>
          <w:sz w:val="24"/>
          <w:lang w:val="en-US" w:eastAsia="zh-CN"/>
        </w:rPr>
        <w:t>海图综合态势展示：（1）核心显示与操作符合IEC 61174-2015、IEC 62288-2024、GB/T 43053-2023，海图数据处理符合IHO S-57、S-63、S-52及PresLib标准。</w:t>
      </w:r>
    </w:p>
    <w:p>
      <w:pPr>
        <w:spacing w:line="300" w:lineRule="auto"/>
        <w:ind w:firstLine="480"/>
      </w:pPr>
      <w:r>
        <w:rPr>
          <w:rFonts w:ascii="仿宋" w:hAnsi="仿宋" w:eastAsia="仿宋"/>
        </w:rPr>
        <w:t>（2）接入并展示标准电子海图（S-57/S-63），支持海图自动匹配、选择、缩放、漫游、图层控制和特定要素开关显示。</w:t>
      </w:r>
    </w:p>
    <w:p>
      <w:pPr>
        <w:spacing w:line="300" w:lineRule="auto"/>
        <w:ind w:firstLine="480"/>
      </w:pPr>
      <w:r>
        <w:rPr>
          <w:rFonts w:ascii="仿宋" w:hAnsi="仿宋" w:eastAsia="仿宋"/>
        </w:rPr>
        <w:t>（3）支持白天、黄昏、夜晚等IMO要求的多种配色模式，夜间模式亮度符合规范。</w:t>
      </w:r>
    </w:p>
    <w:p>
      <w:pPr>
        <w:spacing w:line="300" w:lineRule="auto"/>
        <w:ind w:firstLine="480"/>
      </w:pPr>
      <w:r>
        <w:rPr>
          <w:rFonts w:ascii="仿宋" w:hAnsi="仿宋" w:eastAsia="仿宋"/>
        </w:rPr>
        <w:t>（4）支持正北向上、船艏向上，以及真实位移、相对位移模式切换。</w:t>
      </w:r>
    </w:p>
    <w:p>
      <w:pPr>
        <w:spacing w:line="300" w:lineRule="auto"/>
        <w:ind w:firstLine="480"/>
      </w:pPr>
      <w:r>
        <w:rPr>
          <w:rFonts w:ascii="仿宋" w:hAnsi="仿宋" w:eastAsia="仿宋"/>
        </w:rPr>
        <w:t>AIS/雷达目标融合显示：（1）基于OpenGL技术实现雷达回波图像在电子海图上的实时叠加，集成雷达、AIS、ARPA等导航设备动态数据。</w:t>
      </w:r>
    </w:p>
    <w:p>
      <w:pPr>
        <w:spacing w:line="300" w:lineRule="auto"/>
        <w:ind w:firstLine="480"/>
      </w:pPr>
      <w:r>
        <w:rPr>
          <w:rFonts w:ascii="仿宋" w:hAnsi="仿宋" w:eastAsia="仿宋"/>
        </w:rPr>
        <w:t>（2）将AIS目标符号、雷达回波、ARPA跟踪目标与本船符号准确叠加在电子海图相应地理位置。</w:t>
      </w:r>
    </w:p>
    <w:p>
      <w:pPr>
        <w:spacing w:line="300" w:lineRule="auto"/>
        <w:ind w:firstLine="480"/>
      </w:pPr>
      <w:r>
        <w:rPr>
          <w:rFonts w:ascii="仿宋" w:hAnsi="仿宋" w:eastAsia="仿宋"/>
        </w:rPr>
        <w:t>（3）可选显示AIS目标船舶航向、航速、船名、MMSI等信息和ARPA跟踪预测信息。</w:t>
      </w:r>
    </w:p>
    <w:p>
      <w:pPr>
        <w:spacing w:line="300" w:lineRule="auto"/>
        <w:ind w:firstLine="480"/>
      </w:pPr>
      <w:r>
        <w:rPr>
          <w:rFonts w:ascii="仿宋" w:hAnsi="仿宋" w:eastAsia="仿宋"/>
        </w:rPr>
        <w:t>（4）支持叠加电子围栏、风险区域、潮汐、海流、气象信息以及AIO等临时通告。</w:t>
      </w:r>
    </w:p>
    <w:p>
      <w:pPr>
        <w:spacing w:line="300" w:lineRule="auto"/>
        <w:ind w:firstLine="480"/>
      </w:pPr>
      <w:r>
        <w:rPr>
          <w:rFonts w:ascii="仿宋" w:hAnsi="仿宋" w:eastAsia="仿宋"/>
        </w:rPr>
        <w:t>航线规划与航行计算：（1）支持手动或自动航线设计，允许添加、删除、拖动、排序航向点和航段。</w:t>
      </w:r>
    </w:p>
    <w:p>
      <w:pPr>
        <w:spacing w:line="300" w:lineRule="auto"/>
        <w:ind w:firstLine="480"/>
      </w:pPr>
      <w:r>
        <w:rPr>
          <w:rFonts w:ascii="仿宋" w:hAnsi="仿宋" w:eastAsia="仿宋"/>
        </w:rPr>
        <w:t>（2）自动执行航线安全检查，提示航线段是否穿过浅水、禁航区或接近危险物。</w:t>
      </w:r>
    </w:p>
    <w:p>
      <w:pPr>
        <w:spacing w:line="300" w:lineRule="auto"/>
        <w:ind w:firstLine="480"/>
      </w:pPr>
      <w:r>
        <w:rPr>
          <w:rFonts w:ascii="仿宋" w:hAnsi="仿宋" w:eastAsia="仿宋"/>
        </w:rPr>
        <w:t>（3）允许设定吃水、安全等深线、偏航阈值、船舶尺寸等航线安全参数。</w:t>
      </w:r>
    </w:p>
    <w:p>
      <w:pPr>
        <w:spacing w:line="300" w:lineRule="auto"/>
        <w:ind w:firstLine="480"/>
      </w:pPr>
      <w:r>
        <w:rPr>
          <w:rFonts w:ascii="仿宋" w:hAnsi="仿宋" w:eastAsia="仿宋"/>
        </w:rPr>
        <w:t>（4）具备真距离、方位和ETA估算能力，并基于GPS/DGPS持续监控船舶是否按计划航线行驶。</w:t>
      </w:r>
    </w:p>
    <w:p>
      <w:pPr>
        <w:spacing w:line="300" w:lineRule="auto"/>
        <w:ind w:firstLine="480"/>
      </w:pPr>
      <w:r>
        <w:rPr>
          <w:rFonts w:ascii="仿宋" w:hAnsi="仿宋" w:eastAsia="仿宋"/>
        </w:rPr>
        <w:t>（5）连续记录并存储历史航迹、船位、速度、航向和报警事件，用于航后分析和VDR备份。</w:t>
      </w:r>
    </w:p>
    <w:p>
      <w:pPr>
        <w:spacing w:line="300" w:lineRule="auto"/>
        <w:ind w:firstLine="480"/>
      </w:pPr>
      <w:r>
        <w:rPr>
          <w:rFonts w:ascii="仿宋" w:hAnsi="仿宋" w:eastAsia="仿宋"/>
        </w:rPr>
        <w:t>安全等深线与水深告警：（1）允许输入船舶吃水和富裕水深，系统自动计算并设置安全等深线和安全轮廓线。</w:t>
      </w:r>
    </w:p>
    <w:p>
      <w:pPr>
        <w:spacing w:line="300" w:lineRule="auto"/>
        <w:ind w:firstLine="480"/>
      </w:pPr>
      <w:r>
        <w:rPr>
          <w:rFonts w:ascii="仿宋" w:hAnsi="仿宋" w:eastAsia="仿宋"/>
        </w:rPr>
        <w:t>（2）在海图上突出显示浅于安全等深线的水域，并将安全水域显示为规范安全色。</w:t>
      </w:r>
    </w:p>
    <w:p>
      <w:pPr>
        <w:spacing w:line="300" w:lineRule="auto"/>
        <w:ind w:firstLine="480"/>
      </w:pPr>
      <w:r>
        <w:rPr>
          <w:rFonts w:ascii="仿宋" w:hAnsi="仿宋" w:eastAsia="仿宋"/>
        </w:rPr>
        <w:t>（3）本船或安全轮廓线即将进入不安全水域、禁航区、限航区、港口报告区或电子围栏时立即报警。</w:t>
      </w:r>
    </w:p>
    <w:p>
      <w:pPr>
        <w:spacing w:line="300" w:lineRule="auto"/>
        <w:ind w:firstLine="480"/>
      </w:pPr>
      <w:r>
        <w:rPr>
          <w:rFonts w:ascii="仿宋" w:hAnsi="仿宋" w:eastAsia="仿宋"/>
        </w:rPr>
        <w:t>（4）预测安全矢量接近孤立危险物或未知浅水区时触发报警，并基于AIS/雷达目标计算CPA/TCPA碰撞风险。</w:t>
      </w:r>
    </w:p>
    <w:p>
      <w:pPr>
        <w:spacing w:line="300" w:lineRule="auto"/>
        <w:ind w:firstLine="480"/>
      </w:pPr>
      <w:r>
        <w:rPr>
          <w:rFonts w:ascii="仿宋" w:hAnsi="仿宋" w:eastAsia="仿宋"/>
        </w:rPr>
        <w:t>航行监控导航与安全预警：（1）船舶实时位置偏离计划航线超过设定偏航阈值（XTD）时立即发出告警。</w:t>
      </w:r>
    </w:p>
    <w:p>
      <w:pPr>
        <w:spacing w:line="300" w:lineRule="auto"/>
        <w:ind w:firstLine="480"/>
      </w:pPr>
      <w:r>
        <w:rPr>
          <w:rFonts w:ascii="仿宋" w:hAnsi="仿宋" w:eastAsia="仿宋"/>
        </w:rPr>
        <w:t>（2）对GPS信号丢失、陀螺罗经数据异常、海图更新延迟、电源切换等系统级故障发出告警。</w:t>
      </w:r>
    </w:p>
    <w:p>
      <w:pPr>
        <w:spacing w:line="300" w:lineRule="auto"/>
        <w:ind w:firstLine="480"/>
      </w:pPr>
      <w:r>
        <w:rPr>
          <w:rFonts w:ascii="仿宋" w:hAnsi="仿宋" w:eastAsia="仿宋"/>
        </w:rPr>
        <w:t>（3）遵循IMO/IHO规范对报警进行紧急、警报、指示等优先级分类，并采用不同声光模式。</w:t>
      </w:r>
    </w:p>
    <w:p>
      <w:pPr>
        <w:spacing w:line="300" w:lineRule="auto"/>
        <w:ind w:firstLine="480"/>
      </w:pPr>
      <w:r>
        <w:rPr>
          <w:rFonts w:ascii="仿宋" w:hAnsi="仿宋" w:eastAsia="仿宋"/>
        </w:rPr>
        <w:t>（4）提供告警/预警信息列表，允许船员确认、消除告警。</w:t>
      </w:r>
    </w:p>
    <w:p>
      <w:pPr>
        <w:spacing w:line="300" w:lineRule="auto"/>
        <w:ind w:firstLine="480"/>
      </w:pPr>
      <w:r>
        <w:rPr>
          <w:rFonts w:ascii="仿宋" w:hAnsi="仿宋" w:eastAsia="仿宋"/>
        </w:rPr>
        <w:t>个性化交互与重要操作防误：（1）提供直观图形化界面，菜单层级简洁明了，支持常用功能快捷键访问。</w:t>
      </w:r>
    </w:p>
    <w:p>
      <w:pPr>
        <w:spacing w:line="300" w:lineRule="auto"/>
        <w:ind w:firstLine="480"/>
      </w:pPr>
      <w:r>
        <w:rPr>
          <w:rFonts w:ascii="仿宋" w:hAnsi="仿宋" w:eastAsia="仿宋"/>
        </w:rPr>
        <w:t>（2）软件界面适配高分辨率显示，支持通过软件指令调节背景亮度以适应夜间模式。</w:t>
      </w:r>
    </w:p>
    <w:p>
      <w:pPr>
        <w:spacing w:line="300" w:lineRule="auto"/>
        <w:ind w:firstLine="480"/>
      </w:pPr>
      <w:r>
        <w:rPr>
          <w:rFonts w:ascii="仿宋" w:hAnsi="仿宋" w:eastAsia="仿宋"/>
        </w:rPr>
        <w:t>（3）删除航线、修改安全参数等重要操作弹出确认对话框并要求船员二次确认。</w:t>
      </w:r>
    </w:p>
    <w:p>
      <w:pPr>
        <w:spacing w:line="300" w:lineRule="auto"/>
        <w:ind w:firstLine="480"/>
      </w:pPr>
      <w:r>
        <w:rPr>
          <w:rFonts w:ascii="仿宋" w:hAnsi="仿宋" w:eastAsia="仿宋"/>
        </w:rPr>
        <w:t>（4）支持触摸屏、鼠标、键盘、轨迹球等多种输入方式。</w:t>
      </w:r>
    </w:p>
    <w:p>
      <w:pPr>
        <w:spacing w:line="300" w:lineRule="auto"/>
        <w:ind w:firstLine="480"/>
      </w:pPr>
      <w:r>
        <w:rPr>
          <w:rFonts w:ascii="仿宋" w:hAnsi="仿宋" w:eastAsia="仿宋"/>
        </w:rPr>
        <w:t>平台架构与多设备协同：（1）支持龙芯、飞腾、瑞芯微等硬件平台，以及麒麟、Ubuntu等操作系统部署并长期稳定运行。</w:t>
      </w:r>
    </w:p>
    <w:p>
      <w:pPr>
        <w:spacing w:line="300" w:lineRule="auto"/>
        <w:ind w:firstLine="480"/>
      </w:pPr>
      <w:r>
        <w:rPr>
          <w:rFonts w:ascii="仿宋" w:hAnsi="仿宋" w:eastAsia="仿宋"/>
        </w:rPr>
        <w:t>（2）软件架构支持多台设备按优先级运行。</w:t>
      </w:r>
    </w:p>
    <w:p>
      <w:pPr>
        <w:spacing w:line="300" w:lineRule="auto"/>
        <w:ind w:firstLine="480"/>
      </w:pPr>
      <w:r>
        <w:rPr>
          <w:rFonts w:ascii="仿宋" w:hAnsi="仿宋" w:eastAsia="仿宋"/>
        </w:rPr>
        <w:t>（3）采用分层结构和模块化设计，预留标准数据接口，支持后续接入新型号导航传感器或功能模块。</w:t>
      </w:r>
    </w:p>
    <w:p>
      <w:pPr>
        <w:spacing w:line="300" w:lineRule="auto"/>
        <w:ind w:firstLine="480"/>
      </w:pPr>
      <w:r>
        <w:rPr>
          <w:rFonts w:ascii="仿宋" w:hAnsi="仿宋" w:eastAsia="仿宋"/>
        </w:rPr>
        <w:t>（4）本软件支持用户操作界面与显示，采用C++编程语言，并充分考虑继承性、灵活性和可维护性。</w:t>
      </w:r>
    </w:p>
    <w:p>
      <w:pPr>
        <w:spacing w:line="300" w:lineRule="auto"/>
        <w:ind w:firstLine="480"/>
      </w:pPr>
      <w:r>
        <w:rPr>
          <w:rFonts w:ascii="仿宋" w:hAnsi="仿宋" w:eastAsia="仿宋"/>
        </w:rPr>
        <w:t>数据维护、海图更新与接口集成：（1）接收、解析和应用官方发布的S-63加密格式海图更新数据，并生成更新记录。</w:t>
      </w:r>
    </w:p>
    <w:p>
      <w:pPr>
        <w:spacing w:line="300" w:lineRule="auto"/>
        <w:ind w:firstLine="480"/>
      </w:pPr>
      <w:r>
        <w:rPr>
          <w:rFonts w:ascii="仿宋" w:hAnsi="仿宋" w:eastAsia="仿宋"/>
        </w:rPr>
        <w:t>（2）定期自动备份系统内部存储结构（SENC）和所有航行记录，确保数据安全。</w:t>
      </w:r>
    </w:p>
    <w:p>
      <w:pPr>
        <w:spacing w:line="300" w:lineRule="auto"/>
        <w:ind w:firstLine="480"/>
      </w:pPr>
      <w:r>
        <w:rPr>
          <w:rFonts w:ascii="仿宋" w:hAnsi="仿宋" w:eastAsia="仿宋"/>
        </w:rPr>
        <w:t>（3）软件接口遵循NMEA0183/2000协议，与船载设备进行数据通信。</w:t>
      </w:r>
    </w:p>
    <w:p>
      <w:pPr>
        <w:spacing w:line="300" w:lineRule="auto"/>
        <w:ind w:firstLine="480"/>
      </w:pPr>
      <w:r>
        <w:rPr>
          <w:rFonts w:ascii="仿宋" w:hAnsi="仿宋" w:eastAsia="仿宋"/>
        </w:rPr>
        <w:t>（4）支持与USB存储设备、便携式电脑进行数据交换，支持CSV、XML等通用格式导入导出。</w:t>
      </w:r>
    </w:p>
    <w:p>
      <w:pPr>
        <w:spacing w:line="300" w:lineRule="auto"/>
        <w:ind w:firstLine="480"/>
      </w:pPr>
      <w:r>
        <w:rPr>
          <w:rFonts w:ascii="仿宋" w:hAnsi="仿宋" w:eastAsia="仿宋"/>
        </w:rPr>
        <w:t>（5）支持GPS/北斗、电罗经、计程仪、BNWAS、VDR、BAM、MSI、INS等设备或系统接口。</w:t>
      </w:r>
    </w:p>
    <w:p w14: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14:paraId="15A14A81">
      <w:pPr>
        <w:spacing w:line="360" w:lineRule="auto"/>
        <w:ind w:firstLine="480" w:firstLineChars="200"/>
        <w:rPr>
          <w:rFonts w:hint="eastAsia"/>
          <w:lang w:val="en-US" w:eastAsia="zh-CN"/>
        </w:rPr>
      </w:pPr>
      <w:r>
        <w:rPr>
          <w:rFonts w:hint="eastAsia" w:ascii="仿宋" w:eastAsia="仿宋" w:hAnsi="仿宋"/>
          <w:b w:val="0"/>
          <w:sz w:val="24"/>
          <w:lang w:val="en-US" w:eastAsia="zh-CN"/>
        </w:rPr>
        <w:t>一般操作响应时间（数据查阅、图表显示等操作）：＜2s。</w:t>
      </w:r>
      <w:r>
        <w:rPr>
          <w:rFonts w:hint="eastAsia" w:ascii="仿宋" w:hAnsi="仿宋" w:eastAsia="仿宋"/>
          <w:sz w:val="24"/>
          <w:lang w:val="en-US" w:eastAsia="zh-CN"/>
        </w:rPr>
      </w:r>
      <w:r>
        <w:rPr>
          <w:rFonts w:hint="eastAsia" w:ascii="仿宋" w:eastAsia="仿宋" w:hAnsi="仿宋"/>
          <w:sz w:val="24"/>
          <w:lang w:val="en-US" w:eastAsia="zh-CN"/>
        </w:rPr>
      </w:r>
    </w:p>
    <w:p>
      <w:pPr>
        <w:spacing w:line="300" w:lineRule="auto"/>
        <w:ind w:firstLine="480"/>
      </w:pPr>
      <w:r>
        <w:rPr>
          <w:rFonts w:ascii="仿宋" w:hAnsi="仿宋" w:eastAsia="仿宋"/>
        </w:rPr>
        <w:t>系统初始化时间：＜10s。</w:t>
      </w:r>
    </w:p>
    <w:p>
      <w:pPr>
        <w:spacing w:line="300" w:lineRule="auto"/>
        <w:ind w:firstLine="480"/>
      </w:pPr>
      <w:r>
        <w:rPr>
          <w:rFonts w:ascii="仿宋" w:hAnsi="仿宋" w:eastAsia="仿宋"/>
        </w:rPr>
        <w:t>一般数据查询时间：＜5s。</w:t>
      </w:r>
    </w:p>
    <w:p>
      <w:pPr>
        <w:spacing w:line="300" w:lineRule="auto"/>
        <w:ind w:firstLine="480"/>
      </w:pPr>
      <w:r>
        <w:rPr>
          <w:rFonts w:ascii="仿宋" w:hAnsi="仿宋" w:eastAsia="仿宋"/>
        </w:rPr>
        <w:t>一般数据汇总时间：＜10s。</w:t>
      </w:r>
    </w:p>
    <w:p>
      <w:pPr>
        <w:spacing w:line="300" w:lineRule="auto"/>
        <w:ind w:firstLine="480"/>
      </w:pPr>
      <w:r>
        <w:rPr>
          <w:rFonts w:ascii="仿宋" w:hAnsi="仿宋" w:eastAsia="仿宋"/>
        </w:rPr>
        <w:t>指令响应率：100%。</w:t>
      </w:r>
    </w:p>
    <w:p>
      <w:pPr>
        <w:spacing w:line="300" w:lineRule="auto"/>
        <w:ind w:firstLine="480"/>
      </w:pPr>
      <w:r>
        <w:rPr>
          <w:rFonts w:ascii="仿宋" w:hAnsi="仿宋" w:eastAsia="仿宋"/>
        </w:rPr>
        <w:t>系统服务稳定性：99%。</w:t>
      </w:r>
    </w:p>
    <w:p>
      <w:pPr>
        <w:spacing w:line="300" w:lineRule="auto"/>
        <w:ind w:firstLine="480"/>
      </w:pPr>
      <w:r>
        <w:rPr>
          <w:rFonts w:ascii="仿宋" w:hAnsi="仿宋" w:eastAsia="仿宋"/>
        </w:rPr>
        <w:t>特殊操作超过规定时间时，向用户给出明确等待时间或进度条提示。</w:t>
      </w:r>
    </w:p>
    <w:p w14: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14:paraId="4250E55C">
      <w:pPr>
        <w:spacing w:line="360" w:lineRule="auto"/>
        <w:ind w:firstLine="480" w:firstLineChars="200"/>
        <w:rPr>
          <w:rFonts w:hint="eastAsia"/>
          <w:lang w:val="en-US" w:eastAsia="zh-CN"/>
        </w:rPr>
      </w:pPr>
      <w:r>
        <w:rPr>
          <w:rFonts w:hint="eastAsia" w:ascii="仿宋" w:eastAsia="仿宋" w:hAnsi="仿宋"/>
          <w:b w:val="0"/>
          <w:sz w:val="24"/>
          <w:lang w:val="en-US" w:eastAsia="zh-CN"/>
        </w:rPr>
        <w:t>可靠性要求：（1）海图数据加载准确完整，海图初始化时间≤8s，海图响应时间≤2s。</w:t>
      </w:r>
      <w:r>
        <w:rPr>
          <w:rFonts w:hint="eastAsia" w:ascii="仿宋" w:hAnsi="仿宋" w:eastAsia="仿宋"/>
          <w:sz w:val="24"/>
          <w:lang w:val="en-US" w:eastAsia="zh-CN"/>
        </w:rPr>
      </w:r>
      <w:r>
        <w:rPr>
          <w:rFonts w:hint="eastAsia" w:ascii="仿宋" w:eastAsia="仿宋" w:hAnsi="仿宋"/>
          <w:sz w:val="24"/>
          <w:lang w:val="en-US" w:eastAsia="zh-CN"/>
        </w:rPr>
      </w:r>
    </w:p>
    <w:p>
      <w:pPr>
        <w:spacing w:line="300" w:lineRule="auto"/>
        <w:ind w:firstLine="480"/>
      </w:pPr>
      <w:r>
        <w:rPr>
          <w:rFonts w:ascii="仿宋" w:hAnsi="仿宋" w:eastAsia="仿宋"/>
        </w:rPr>
        <w:t>（2）航线安全检查结果准确率高于99%。</w:t>
      </w:r>
    </w:p>
    <w:p>
      <w:pPr>
        <w:spacing w:line="300" w:lineRule="auto"/>
        <w:ind w:firstLine="480"/>
      </w:pPr>
      <w:r>
        <w:rPr>
          <w:rFonts w:ascii="仿宋" w:hAnsi="仿宋" w:eastAsia="仿宋"/>
        </w:rPr>
        <w:t>（3）存储介质可靠，接口通信具备错误校验和自动重连机制。</w:t>
      </w:r>
    </w:p>
    <w:p>
      <w:pPr>
        <w:spacing w:line="300" w:lineRule="auto"/>
        <w:ind w:firstLine="480"/>
      </w:pPr>
      <w:r>
        <w:rPr>
          <w:rFonts w:ascii="仿宋" w:hAnsi="仿宋" w:eastAsia="仿宋"/>
        </w:rPr>
        <w:t>安全性要求：（1）系统部署运行软硬件环境满足全军统一国产化要求。</w:t>
      </w:r>
    </w:p>
    <w:p>
      <w:pPr>
        <w:spacing w:line="300" w:lineRule="auto"/>
        <w:ind w:firstLine="480"/>
      </w:pPr>
      <w:r>
        <w:rPr>
          <w:rFonts w:ascii="仿宋" w:hAnsi="仿宋" w:eastAsia="仿宋"/>
        </w:rPr>
        <w:t>（2）上线运行前完成整体安全性测试并提供安全测试报告。</w:t>
      </w:r>
    </w:p>
    <w:p>
      <w:pPr>
        <w:spacing w:line="300" w:lineRule="auto"/>
        <w:ind w:firstLine="480"/>
      </w:pPr>
      <w:r>
        <w:rPr>
          <w:rFonts w:ascii="仿宋" w:hAnsi="仿宋" w:eastAsia="仿宋"/>
        </w:rPr>
        <w:t>（3）系统管理人员经过严格培训，对访问用户按岗位业务进行权限设计并建立严格授权机制。</w:t>
      </w:r>
    </w:p>
    <w:p>
      <w:pPr>
        <w:spacing w:line="300" w:lineRule="auto"/>
        <w:ind w:firstLine="480"/>
      </w:pPr>
      <w:r>
        <w:rPr>
          <w:rFonts w:ascii="仿宋" w:hAnsi="仿宋" w:eastAsia="仿宋"/>
        </w:rPr>
        <w:t>（4）正式运行系统与数据库中严禁进行测试操作，支持按军用计算机网络安全防护标准部署配置。</w:t>
      </w:r>
    </w:p>
    <w:p>
      <w:pPr>
        <w:spacing w:line="300" w:lineRule="auto"/>
        <w:ind w:firstLine="480"/>
      </w:pPr>
      <w:r>
        <w:rPr>
          <w:rFonts w:ascii="仿宋" w:hAnsi="仿宋" w:eastAsia="仿宋"/>
        </w:rPr>
        <w:t>保障性要求：（1）软件随主机设备移交时同步移交用户使用手册。</w:t>
      </w:r>
    </w:p>
    <w:p>
      <w:pPr>
        <w:spacing w:line="300" w:lineRule="auto"/>
        <w:ind w:firstLine="480"/>
      </w:pPr>
      <w:r>
        <w:rPr>
          <w:rFonts w:ascii="仿宋" w:hAnsi="仿宋" w:eastAsia="仿宋"/>
        </w:rPr>
        <w:t>（2）软件移交后配合联试和使用维护，对软件更改做好记录，保持文档与代码的可追溯性和一致性。</w:t>
      </w:r>
    </w:p>
    <w:p>
      <w:pPr>
        <w:spacing w:line="300" w:lineRule="auto"/>
        <w:ind w:firstLine="480"/>
      </w:pPr>
      <w:r>
        <w:rPr>
          <w:rFonts w:ascii="仿宋" w:hAnsi="仿宋" w:eastAsia="仿宋"/>
        </w:rPr>
        <w:t>维修性要求：（1）数据接入、告警管理、系统配置等功能模块之间具有定义清晰、稳定的接口。</w:t>
      </w:r>
    </w:p>
    <w:p>
      <w:pPr>
        <w:spacing w:line="300" w:lineRule="auto"/>
        <w:ind w:firstLine="480"/>
      </w:pPr>
      <w:r>
        <w:rPr>
          <w:rFonts w:ascii="仿宋" w:hAnsi="仿宋" w:eastAsia="仿宋"/>
        </w:rPr>
        <w:t>（2）MTTR（平均维修时间）≤0.5小时。</w:t>
      </w:r>
    </w:p>
    <w:p>
      <w:pPr>
        <w:spacing w:line="300" w:lineRule="auto"/>
        <w:ind w:firstLine="480"/>
      </w:pPr>
      <w:r>
        <w:rPr>
          <w:rFonts w:ascii="仿宋" w:hAnsi="仿宋" w:eastAsia="仿宋"/>
        </w:rPr>
        <w:t>测试性要求：（1）系统及各模块设计和实现时充分考虑可测试性，提供必要测试接口或机制。</w:t>
      </w:r>
    </w:p>
    <w:p>
      <w:pPr>
        <w:spacing w:line="300" w:lineRule="auto"/>
        <w:ind w:firstLine="480"/>
      </w:pPr>
      <w:r>
        <w:rPr>
          <w:rFonts w:ascii="仿宋" w:hAnsi="仿宋" w:eastAsia="仿宋"/>
        </w:rPr>
        <w:t>（2）支持自动化测试实施，便于进行单元测试、集成测试、系统测试和验收测试。</w:t>
      </w:r>
    </w:p>
    <w:p>
      <w:pPr>
        <w:spacing w:line="300" w:lineRule="auto"/>
        <w:ind w:firstLine="480"/>
      </w:pPr>
      <w:r>
        <w:rPr>
          <w:rFonts w:ascii="仿宋" w:hAnsi="仿宋" w:eastAsia="仿宋"/>
        </w:rPr>
        <w:t>环境适应性要求：（1）软件运行环境覆盖龙芯、飞腾、瑞芯微硬件平台和麒麟、Ubuntu系统。</w:t>
      </w:r>
    </w:p>
    <w:p w14: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Calibri"/>
          <w:bCs/>
          <w:kern w:val="44"/>
          <w:sz w:val="30"/>
          <w:szCs w:val="44"/>
        </w:rPr>
        <w:t>技术方案</w:t>
      </w:r>
      <w:bookmarkEnd w:id="13"/>
    </w:p>
    <w:p w14: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w14:paraId="42C34A86">
      <w:pPr>
        <w:keepNext/>
        <w:keepLines/>
        <w:numPr>
          <w:ilvl w:val="2"/>
          <w:numId w:val="11"/>
        </w:numPr>
        <w:tabs>
          <w:tab w:val="left" w:pos="0"/>
        </w:tabs>
        <w:spacing w:line="360" w:lineRule="auto"/>
        <w:outlineLvl w:val="2"/>
        <w:rPr>
          <w:rFonts w:hint="eastAsia" w:eastAsia="黑体"/>
          <w:bCs/>
          <w:szCs w:val="32"/>
        </w:rPr>
      </w:pPr>
      <w:r>
        <w:rPr>
          <w:rFonts w:hint="eastAsia" w:eastAsia="仿宋" w:ascii="仿宋" w:hAnsi="仿宋"/>
          <w:bCs/>
          <w:szCs w:val="32"/>
        </w:rPr>
        <w:t>系统总体架构</w:t>
      </w:r>
    </w:p>
    <w:p w14:paraId="0586BDD8">
      <w:pPr>
        <w:numPr>
          <w:numId w:val="0"/>
        </w:numPr>
        <w:adjustRightInd w:val="0"/>
        <w:spacing w:line="360" w:lineRule="auto"/>
        <w:ind w:leftChars="200"/>
        <w:rPr>
          <w:szCs w:val="28"/>
        </w:rPr>
      </w:pPr>
      <w:r>
        <w:rPr>
          <w:rFonts w:hint="default" w:ascii="仿宋" w:hAnsi="仿宋" w:eastAsia="仿宋"/>
          <w:b w:val="0"/>
          <w:sz w:val="24"/>
          <w:szCs w:val="28"/>
          <w:lang w:val="en-US" w:eastAsia="zh-CN"/>
        </w:rPr>
        <w:t>系统总体架构采用分层、模块化和接口标准化的设计思路，围绕船载电子海图显示、导航态势融合、安全预警和航行数据管理等核心业务构建。整体架构从上至下划分为用户访问层、前端展现层、业务应用层、平台能力层、数据资源层、集成接口层、安全保障体系、运维监控体系和国产化运行环境。各层之间通过清晰接口传递业务请求、海图数据、传感器数据、告警事件和运维状态，保证功能可扩展、接口可替换、运行可监控、问题可追溯。</w:t>
      </w:r>
      <w:r>
        <w:rPr>
          <w:rFonts w:hint="eastAsia" w:ascii="仿宋" w:hAnsi="仿宋" w:eastAsia="仿宋"/>
          <w:sz w:val="24"/>
          <w:szCs w:val="28"/>
          <w:lang w:val="en-US" w:eastAsia="zh-CN"/>
        </w:rPr>
      </w:r>
      <w:r>
        <w:rPr>
          <w:rFonts w:hint="default" w:ascii="仿宋" w:hAnsi="仿宋" w:eastAsia="仿宋"/>
          <w:sz w:val="24"/>
          <w:szCs w:val="28"/>
          <w:lang w:val="en-US" w:eastAsia="zh-CN"/>
        </w:rPr>
      </w:r>
    </w:p>
    <w:p>
      <w:pPr>
        <w:spacing w:line="300" w:lineRule="auto"/>
        <w:ind w:firstLine="480"/>
      </w:pPr>
      <w:r>
        <w:rPr>
          <w:rFonts w:ascii="仿宋" w:hAnsi="仿宋" w:eastAsia="仿宋"/>
        </w:rPr>
        <w:t>用户访问层面向船员、系统管理人员、联试维护人员等不同岗位用户，提供触摸屏、鼠标、键盘、轨迹球等多种交互方式。系统根据岗位职责和业务场景建立访问边界，使航线规划、告警确认、系统配置、数据维护等操作具备明确权限控制和操作审计能力，满足正式运行系统中严格授权和禁止测试操作的安全要求。</w:t>
      </w:r>
    </w:p>
    <w:p>
      <w:pPr>
        <w:spacing w:line="300" w:lineRule="auto"/>
        <w:ind w:firstLine="480"/>
      </w:pPr>
      <w:r>
        <w:rPr>
          <w:rFonts w:ascii="仿宋" w:hAnsi="仿宋" w:eastAsia="仿宋"/>
        </w:rPr>
        <w:t>前端展现层承担电子海图显示、态势叠加、航线编辑、告警提示、信息查询和配置操作等交互任务。该层以高分辨率显示适配、昼夜配色、正北向上/船艏向上、真实位移/相对位移等显示模式为基础，结合OpenGL图形渲染能力，实现S-57/S-63海图、雷达回波、AIS目标、ARPA目标、气象海况、自定义GIS要素和安全告警的统一可视化呈现。</w:t>
      </w:r>
    </w:p>
    <w:p>
      <w:pPr>
        <w:spacing w:line="300" w:lineRule="auto"/>
        <w:ind w:firstLine="480"/>
      </w:pPr>
      <w:r>
        <w:rPr>
          <w:rFonts w:ascii="仿宋" w:hAnsi="仿宋" w:eastAsia="仿宋"/>
        </w:rPr>
        <w:t>业务应用层承载系统核心功能，包括海图综合态势展示、目标融合显示、航线规划、航行监控、安全等深线计算、水深和区域告警、CPA/TCPA碰撞预警、个性化设置、海图更新和航行记录管理。各业务模块以功能边界清晰、职责单一、接口稳定为原则组织，保证后续接入新型号导航传感器或扩展功能模块时不会破坏既有业务逻辑。</w:t>
      </w:r>
    </w:p>
    <w:p>
      <w:pPr>
        <w:spacing w:line="300" w:lineRule="auto"/>
        <w:ind w:firstLine="480"/>
      </w:pPr>
      <w:r>
        <w:rPr>
          <w:rFonts w:ascii="仿宋" w:hAnsi="仿宋" w:eastAsia="仿宋"/>
        </w:rPr>
        <w:t>平台能力层提供图形渲染、坐标转换、协议解析、数据校验、告警规则、任务调度、日志审计、配置管理、权限控制、备份恢复和运行监控等通用能力。该层将共性技术能力从业务模块中抽离，降低重复开发和维护成本，并为性能优化、自动化测试、故障定位和跨平台迁移提供统一支撑。</w:t>
      </w:r>
    </w:p>
    <w:p>
      <w:pPr>
        <w:spacing w:line="300" w:lineRule="auto"/>
        <w:ind w:firstLine="480"/>
      </w:pPr>
      <w:r>
        <w:rPr>
          <w:rFonts w:ascii="仿宋" w:hAnsi="仿宋" w:eastAsia="仿宋"/>
        </w:rPr>
        <w:t>数据资源层以SENC海图库、航线数据、航行记录、告警事件、系统配置、用户权限、海图更新记录和接口交换数据为核心对象。系统对海图更新、航行轨迹、报警事件和关键操作建立全生命周期记录，支持数据备份、恢复、归档和追溯，满足航后分析、VDR备份、质量监督和验收取证要求。</w:t>
      </w:r>
    </w:p>
    <w:p>
      <w:pPr>
        <w:spacing w:line="300" w:lineRule="auto"/>
        <w:ind w:firstLine="480"/>
      </w:pPr>
      <w:r>
        <w:rPr>
          <w:rFonts w:ascii="仿宋" w:hAnsi="仿宋" w:eastAsia="仿宋"/>
        </w:rPr>
        <w:t>集成接口层按照NMEA0183/2000等协议与GPS/北斗、电罗经、计程仪、雷达、AIS、ARPA以及BNWAS、VDR、BAM、MSI、INS等外部设备或系统进行数据交互，同时支持USB存储设备和便携式电脑的数据导入导出。接口设计采用解析、校验、缓存、状态监测和自动重连机制，确保通信稳定性和异常可恢复性。</w:t>
      </w:r>
    </w:p>
    <w:p>
      <w:pPr>
        <w:spacing w:line="300" w:lineRule="auto"/>
        <w:ind w:firstLine="480"/>
      </w:pPr>
      <w:r>
        <w:rPr>
          <w:rFonts w:ascii="仿宋" w:hAnsi="仿宋" w:eastAsia="仿宋"/>
        </w:rPr>
        <w:t>安全保障体系和运维监控体系贯穿各层。安全体系覆盖身份认证、岗位授权、重要操作二次确认、数据访问控制、安全测试、保密管理和网络防护部署；运维体系覆盖运行状态采集、日志审计、告警闭环、自动备份、故障定位、版本记录和文档代码一致性维护，从而支撑系统在国产化软硬件环境中长期稳定运行。</w:t>
      </w:r>
    </w:p>
    <w:p w14:paraId="6BB68F78">
      <w:pPr>
        <w:spacing w:line="360" w:lineRule="auto"/>
        <w:ind w:firstLine="480" w:firstLineChars="200"/>
        <w:rPr>
          <w:rFonts w:hint="eastAsia"/>
        </w:rPr>
      </w:pPr>
      <w:r>
        <w:rPr>
          <w:rFonts w:hint="eastAsia" w:ascii="仿宋" w:hAnsi="仿宋" w:eastAsia="仿宋"/>
        </w:rPr>
        <w:t>系统架构如下图所示：</w:t>
      </w:r>
    </w:p>
    <w:p w14:paraId="238B6481">
      <w:pPr>
        <w:spacing w:line="360" w:lineRule="auto"/>
        <w:jc w:val="center"/>
        <w:rPr>
          <w:rFonts w:hint="eastAsia"/>
        </w:rPr>
      </w:pPr>
      <w:r>
        <w:rPr>
          <w:rFonts w:hint="eastAsia" w:ascii="仿宋" w:hAnsi="仿宋" w:eastAsia="仿宋"/>
          <w:b w:val="0"/>
          <w:sz w:val="24"/>
          <w:lang w:val="en-US" w:eastAsia="zh-CN"/>
        </w:rPr>
      </w:r>
      <w:r>
        <w:rPr>
          <w:rFonts w:ascii="仿宋" w:hAnsi="仿宋" w:eastAsia="仿宋"/>
        </w:rPr>
        <w:drawing>
          <wp:inline xmlns:a="http://schemas.openxmlformats.org/drawingml/2006/main" xmlns:pic="http://schemas.openxmlformats.org/drawingml/2006/picture">
            <wp:extent cx="5577840" cy="2067519"/>
            <wp:docPr id="1049926589" name="Picture 1049926589"/>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577840" cy="2067519"/>
                    </a:xfrm>
                    <a:prstGeom prst="rect"/>
                  </pic:spPr>
                </pic:pic>
              </a:graphicData>
            </a:graphic>
          </wp:inline>
        </w:drawing>
      </w:r>
    </w:p>
    <w:p>
      <w:pPr>
        <w:jc w:val="center"/>
      </w:pPr>
      <w:r>
        <w:rPr>
          <w:rFonts w:ascii="仿宋" w:hAnsi="仿宋" w:eastAsia="仿宋"/>
          <w:sz w:val="21"/>
        </w:rPr>
        <w:t>图 1 电子海图显示与信息系统总体架构图</w:t>
      </w:r>
    </w:p>
    <w:p w14:paraId="071E4F42">
      <w:pPr>
        <w:spacing w:line="360" w:lineRule="auto"/>
        <w:ind w:firstLine="480" w:firstLineChars="200"/>
        <w:rPr>
          <w:rFonts w:hint="eastAsia"/>
          <w:lang w:val="en-US" w:eastAsia="zh-CN"/>
        </w:rPr>
      </w:pPr>
      <w:r>
        <w:rPr>
          <w:rFonts w:hint="eastAsia" w:ascii="仿宋" w:hAnsi="仿宋" w:eastAsia="仿宋"/>
          <w:b w:val="0"/>
          <w:sz w:val="24"/>
          <w:lang w:val="en-US" w:eastAsia="zh-CN"/>
        </w:rPr>
        <w:t>架构图体现系统从用户交互到业务处理、平台支撑、数据存储和外部集成的完整链路。用户访问层通过岗位权限进入前端展现层，前端展现层将海图显示、目标态势、航线编辑、告警提示等操作请求传递至业务应用层。业务应用层调用平台能力层完成图形渲染、协议解析、坐标转换、规则计算、日志审计和配置管理，并将海图、航线、航迹、告警、系统配置和更新记录持久化到数据资源层。</w:t>
      </w:r>
    </w:p>
    <w:p>
      <w:pPr>
        <w:spacing w:line="300" w:lineRule="auto"/>
        <w:ind w:firstLine="480"/>
      </w:pPr>
      <w:r>
        <w:rPr>
          <w:rFonts w:ascii="仿宋" w:hAnsi="仿宋" w:eastAsia="仿宋"/>
        </w:rPr>
        <w:t>集成接口层负责与船载导航传感器、外部业务系统和文件交换设备进行数据交互，向业务应用层提供经过校验和标准化处理的动态数据。安全保障体系对访问、数据、操作、网络和测试过程进行约束，运维监控体系对运行状态、接口链路、告警事件和备份任务进行持续监测，两类支撑体系以横向能力方式作用于系统各层，保证系统安全可控、运行稳定、问题可追溯。</w:t>
      </w:r>
    </w:p>
    <w:p w14:paraId="17AE02FB">
      <w:pPr>
        <w:spacing w:line="360" w:lineRule="auto"/>
        <w:ind w:firstLine="480" w:firstLineChars="200"/>
        <w:rPr>
          <w:rFonts w:hint="eastAsia"/>
          <w:lang w:val="en-US" w:eastAsia="zh-CN"/>
        </w:rPr>
      </w:pPr>
    </w:p>
    <w:p w14: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仿宋" w:ascii="仿宋" w:hAnsi="仿宋"/>
          <w:bCs/>
          <w:szCs w:val="32"/>
          <w:lang w:val="en-US" w:eastAsia="zh-CN"/>
        </w:rPr>
        <w:t>设计原则</w:t>
      </w:r>
      <w:bookmarkEnd w:id="15"/>
      <w:bookmarkEnd w:id="16"/>
    </w:p>
    <w:p w14:paraId="730A7120">
      <w:pPr>
        <w:spacing w:line="360" w:lineRule="auto"/>
        <w:ind w:firstLine="480" w:firstLineChars="200"/>
        <w:rPr>
          <w:rFonts w:hint="eastAsia"/>
          <w:lang w:val="en-US" w:eastAsia="zh-CN"/>
        </w:rPr>
      </w:pPr>
      <w:r>
        <w:rPr>
          <w:rFonts w:hint="eastAsia" w:ascii="仿宋" w:hAnsi="仿宋" w:eastAsia="仿宋"/>
          <w:b w:val="0"/>
          <w:sz w:val="24"/>
          <w:lang w:val="en-US" w:eastAsia="zh-CN"/>
        </w:rPr>
        <w:t>先进适用原则。系统采用符合ECDIS相关国际、国家和行业标准的技术路线，围绕S-57/S-63/S-52海图处理、OpenGL图形叠加、NMEA协议接入、多级告警和跨平台运行等关键能力进行设计，保证技术路线与项目需求直接相关，并避免脱离实际运行环境的技术堆砌。</w:t>
      </w:r>
    </w:p>
    <w:p>
      <w:pPr>
        <w:spacing w:line="300" w:lineRule="auto"/>
        <w:ind w:firstLine="480"/>
      </w:pPr>
      <w:r>
        <w:rPr>
          <w:rFonts w:ascii="仿宋" w:hAnsi="仿宋" w:eastAsia="仿宋"/>
        </w:rPr>
        <w:t>稳定可靠原则。系统对海图加载、传感器通信、航线安全检查、告警触发、数据存储和自动备份等关键链路建立校验、重试、状态监测和日志追踪机制，接口通信具备错误校验和自动重连能力，核心模块具备清晰稳定的接口边界，以支撑长期稳定运行和平均维修时间要求。</w:t>
      </w:r>
    </w:p>
    <w:p>
      <w:pPr>
        <w:spacing w:line="300" w:lineRule="auto"/>
        <w:ind w:firstLine="480"/>
      </w:pPr>
      <w:r>
        <w:rPr>
          <w:rFonts w:ascii="仿宋" w:hAnsi="仿宋" w:eastAsia="仿宋"/>
        </w:rPr>
        <w:t>安全可控原则。系统按照岗位业务进行权限设计，对删除航线、修改安全参数等重要操作实施二次确认，对正式运行系统和数据库建立严格操作边界。系统上线前开展整体安全性测试，并结合军用计算机网络安全防护标准落实部署配置、访问控制、审计记录和保密管理要求。</w:t>
      </w:r>
    </w:p>
    <w:p>
      <w:pPr>
        <w:spacing w:line="300" w:lineRule="auto"/>
        <w:ind w:firstLine="480"/>
      </w:pPr>
      <w:r>
        <w:rPr>
          <w:rFonts w:ascii="仿宋" w:hAnsi="仿宋" w:eastAsia="仿宋"/>
        </w:rPr>
        <w:t>易扩展原则。系统采用分层结构和模块化设计，传感器接入、海图处理、态势显示、航行监控、告警规则、数据维护等模块之间通过标准接口协作，后续新增导航设备、接口协议、业务规则或显示要素时，可通过模块扩展和配置调整实现。</w:t>
      </w:r>
    </w:p>
    <w:p>
      <w:pPr>
        <w:spacing w:line="300" w:lineRule="auto"/>
        <w:ind w:firstLine="480"/>
      </w:pPr>
      <w:r>
        <w:rPr>
          <w:rFonts w:ascii="仿宋" w:hAnsi="仿宋" w:eastAsia="仿宋"/>
        </w:rPr>
        <w:t>易维护原则。系统对配置、日志、版本、接口状态、备份任务和异常事件进行集中管理，形成从故障发现、定位、处置到记录归档的闭环机制。软件变更过程保留记录，并保持文档与代码的可追溯性和一致性，便于联试、验收、质保和后续维护。</w:t>
      </w:r>
    </w:p>
    <w:p>
      <w:pPr>
        <w:spacing w:line="300" w:lineRule="auto"/>
        <w:ind w:firstLine="480"/>
      </w:pPr>
      <w:r>
        <w:rPr>
          <w:rFonts w:ascii="仿宋" w:hAnsi="仿宋" w:eastAsia="仿宋"/>
        </w:rPr>
        <w:t>标准规范原则。系统执行IEC 61174-2015、GB/T 43053-2023、IEC 62288-2024、IHO S-57、IHO S-52、IHO S-63、GJB438C-2021等规范要求，设计文档、接口处理、海图显示、数据保护、软件开发文档和验收资料均围绕标准要求组织。</w:t>
      </w:r>
    </w:p>
    <w:p w14: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仿宋" w:ascii="仿宋" w:hAnsi="仿宋"/>
          <w:bCs/>
          <w:szCs w:val="32"/>
          <w:lang w:val="en-US" w:eastAsia="zh-CN"/>
        </w:rPr>
        <w:t>部署架构</w:t>
      </w:r>
    </w:p>
    <w:p w14:paraId="0C081D19">
      <w:pPr>
        <w:spacing w:line="360" w:lineRule="auto"/>
        <w:ind w:firstLine="480" w:firstLineChars="200"/>
        <w:rPr>
          <w:rFonts w:hint="eastAsia"/>
          <w:lang w:val="en-US" w:eastAsia="zh-CN"/>
        </w:rPr>
      </w:pPr>
      <w:r>
        <w:rPr>
          <w:rFonts w:hint="eastAsia" w:ascii="仿宋" w:hAnsi="仿宋" w:eastAsia="仿宋"/>
          <w:b w:val="0"/>
          <w:sz w:val="24"/>
          <w:lang w:val="en-US" w:eastAsia="zh-CN"/>
        </w:rPr>
        <w:t>系统部署面向龙芯、飞腾、瑞芯微等硬件平台和麒麟、Ubuntu等操作系统，采用可移植的软件包、配置文件和运行脚本组织方式，保证在不同CPU架构和国产化操作系统环境下具备一致的功能表现。部署设计不绑定具体品牌和型号，运行环境参数以甲方提供设备和最终合同约定为准。</w:t>
      </w:r>
    </w:p>
    <w:p>
      <w:pPr>
        <w:spacing w:line="300" w:lineRule="auto"/>
        <w:ind w:firstLine="480"/>
      </w:pPr>
      <w:r>
        <w:rPr>
          <w:rFonts w:ascii="仿宋" w:hAnsi="仿宋" w:eastAsia="仿宋"/>
        </w:rPr>
        <w:t>在船载运行环境中，系统可按主用设备、备用设备或多台设备优先级运行方式部署。主用节点负责实时海图显示、目标融合、航行监控和告警处置，备用节点保持关键配置、海图数据、航线数据和运行状态同步。当主用节点发生故障或维护切换时，系统根据设备优先级和运维策略完成接续运行，降低单点故障对航行安全的影响。</w:t>
      </w:r>
    </w:p>
    <w:p>
      <w:pPr>
        <w:spacing w:line="300" w:lineRule="auto"/>
        <w:ind w:firstLine="480"/>
      </w:pPr>
      <w:r>
        <w:rPr>
          <w:rFonts w:ascii="仿宋" w:hAnsi="仿宋" w:eastAsia="仿宋"/>
        </w:rPr>
        <w:t>部署边界包括系统终端、海图数据存储、导航传感器接口、外部数据交换设备、运维管理通道和安全防护配置。系统通过标准协议接入GPS/北斗、电罗经、计程仪、AIS、雷达、ARPA等数据源，并通过文件交换方式支持海图更新包、航线文件和运行记录导入导出。各接口均进行状态监测、数据校验和异常记录。</w:t>
      </w:r>
    </w:p>
    <w:p>
      <w:pPr>
        <w:spacing w:line="300" w:lineRule="auto"/>
        <w:ind w:firstLine="480"/>
      </w:pPr>
      <w:r>
        <w:rPr>
          <w:rFonts w:ascii="仿宋" w:hAnsi="仿宋" w:eastAsia="仿宋"/>
        </w:rPr>
        <w:t>数据存储采用业务数据、海图数据、日志数据和备份数据分区管理思路。SENC海图库、航行记录、告警事件、系统配置和更新记录均纳入定期备份范围，备份任务具备执行记录和结果校验。涉及外部交换介质时，系统按安全要求进行文件来源、格式、完整性和授权状态校验。</w:t>
      </w:r>
    </w:p>
    <w:p>
      <w:pPr>
        <w:spacing w:line="300" w:lineRule="auto"/>
        <w:ind w:firstLine="480"/>
      </w:pPr>
      <w:r>
        <w:rPr>
          <w:rFonts w:ascii="仿宋" w:hAnsi="仿宋" w:eastAsia="仿宋"/>
        </w:rPr>
        <w:t>安全部署方面，系统结合岗位权限、最小授权、重要操作二次确认、日志审计、安全测试和网络防护配置进行整体控制。运维部署方面，系统提供运行状态、接口链路、资源占用、备份任务、告警事件和版本信息的检查能力，支持联试、验收和质保阶段的问题定位与闭环整改。</w:t>
      </w:r>
    </w:p>
    <w:p w14: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14:paraId="736A25D3">
      <w:pPr>
        <w:pStyle w:val="3"/>
        <w:numPr>
          <w:numId w:val="0"/>
        </w:numPr>
        <w:bidi w:val="0"/>
        <w:ind w:leftChars="200"/>
        <w:rPr>
          <w:rFonts w:hint="eastAsia"/>
          <w:lang w:val="en-US" w:eastAsia="zh-CN"/>
        </w:rPr>
      </w:pPr>
      <w:r>
        <w:rPr>
          <w:rFonts w:hint="eastAsia" w:ascii="仿宋" w:hAnsi="仿宋" w:eastAsia="仿宋"/>
          <w:b w:val="0"/>
          <w:sz w:val="24"/>
          <w:lang w:eastAsia="zh-CN"/>
        </w:rPr>
        <w:t>功能设计按照技术要求中的业务能力、接口能力、数据能力、安全能力和运行保障能力进行拆分，形成海图综合态势展示、AIS/雷达目标融合显示、航线规划与航行计算、安全等深线与水深告警、航行监控导航与安全预警、个性化交互与重要操作防误、平台架构与多设备协同、数据维护与接口集成等功能域。各功能域均对应招标文件明确要求，并结合技术评分表对需求响应、架构合理性、流程图清晰度、接口理解、部署灵活性、安全设计、关键技术和功能详细设计等评分点进行强化。</w:t>
      </w:r>
      <w:r>
        <w:rPr>
          <w:rFonts w:hint="eastAsia" w:ascii="仿宋" w:hAnsi="仿宋" w:eastAsia="仿宋"/>
          <w:sz w:val="24"/>
          <w:lang w:val="en-US" w:eastAsia="zh-CN"/>
        </w:rPr>
      </w:r>
    </w:p>
    <w:p w14:paraId="0975E389">
      <w:pPr>
        <w:pStyle w:val="3"/>
        <w:numPr>
          <w:numId w:val="0"/>
        </w:numPr>
        <w:bidi w:val="0"/>
        <w:ind w:leftChars="200"/>
        <w:rPr>
          <w:rFonts w:hint="eastAsia" w:eastAsia="宋体"/>
          <w:lang w:eastAsia="zh-CN"/>
        </w:rPr>
      </w:pPr>
      <w:r>
        <w:rPr>
          <w:rFonts w:hint="eastAsia" w:ascii="黑体" w:hAnsi="黑体" w:eastAsia="黑体"/>
          <w:b/>
          <w:sz w:val="24"/>
          <w:lang w:val="en-US" w:eastAsia="zh-CN"/>
        </w:rPr>
        <w:t>1.海图综合态势展示功能</w:t>
      </w:r>
      <w:r>
        <w:rPr>
          <w:rFonts w:hint="eastAsia" w:ascii="黑体" w:hAnsi="黑体" w:eastAsia="黑体"/>
          <w:sz w:val="24"/>
          <w:lang w:eastAsia="zh-CN"/>
        </w:rPr>
      </w:r>
    </w:p>
    <w:p>
      <w:pPr>
        <w:spacing w:line="300" w:lineRule="auto"/>
        <w:ind w:firstLine="480"/>
      </w:pPr>
      <w:r>
        <w:rPr>
          <w:rFonts w:ascii="仿宋" w:hAnsi="仿宋" w:eastAsia="仿宋"/>
        </w:rPr>
        <w:t>一、功能目标。海图综合态势展示功能用于落实招标文件中关于核心显示与操作符合IEC 61174-2015、IEC 62288-2024、GB/T 43053-2023，海图数据处理符合IHO S-57、S-63、S-52及PresLib标准。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二、建设内容。系统围绕该功能配置业务页面、数据对象、操作入口、参数项、结果展示和日志记录能力。主要建设内容包括：（1）核心显示与操作符合IEC 61174-2015、IEC 62288-2024、GB/T 43053-2023，海图数据处理符合IHO S-57、S-63、S-52及PresLib标准。</w:t>
      </w:r>
    </w:p>
    <w:p>
      <w:pPr>
        <w:spacing w:line="300" w:lineRule="auto"/>
        <w:ind w:firstLine="480"/>
      </w:pPr>
      <w:r>
        <w:rPr>
          <w:rFonts w:ascii="仿宋" w:hAnsi="仿宋" w:eastAsia="仿宋"/>
        </w:rPr>
        <w:t>（2）接入并展示标准电子海图（S-57/S-63），支持海图自动匹配、选择、缩放、漫游、图层控制和特定要素开关显示。</w:t>
      </w:r>
    </w:p>
    <w:p>
      <w:pPr>
        <w:spacing w:line="300" w:lineRule="auto"/>
        <w:ind w:firstLine="480"/>
      </w:pPr>
      <w:r>
        <w:rPr>
          <w:rFonts w:ascii="仿宋" w:hAnsi="仿宋" w:eastAsia="仿宋"/>
        </w:rPr>
        <w:t>（3）支持白天、黄昏、夜晚等IMO要求的多种配色模式，夜间模式亮度符合规范。</w:t>
      </w:r>
    </w:p>
    <w:p>
      <w:pPr>
        <w:spacing w:line="300" w:lineRule="auto"/>
        <w:ind w:firstLine="480"/>
      </w:pPr>
      <w:r>
        <w:rPr>
          <w:rFonts w:ascii="仿宋" w:hAnsi="仿宋" w:eastAsia="仿宋"/>
        </w:rPr>
        <w:t>（4）支持正北向上、船艏向上，以及真实位移、相对位移模式切换。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海图综合态势展示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0" name="Picture 1049926590"/>
            <wp:cNvGraphicFramePr>
              <a:graphicFrameLocks noChangeAspect="1"/>
            </wp:cNvGraphicFramePr>
            <a:graphic>
              <a:graphicData uri="http://schemas.openxmlformats.org/drawingml/2006/picture">
                <pic:pic>
                  <pic:nvPicPr>
                    <pic:cNvPr id="0" name="function-001-海图综合态势展示.png"/>
                    <pic:cNvPicPr/>
                  </pic:nvPicPr>
                  <pic:blipFill>
                    <a:blip r:embed="rId14"/>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2 海图综合态势展示流程图</w:t>
      </w:r>
    </w:p>
    <w:p>
      <w:pPr>
        <w:spacing w:before="120" w:after="60"/>
      </w:pPr>
      <w:r>
        <w:rPr>
          <w:rFonts w:ascii="黑体" w:hAnsi="黑体" w:eastAsia="黑体"/>
          <w:b/>
          <w:sz w:val="26"/>
        </w:rPr>
        <w:t>2.AIS/雷达目标融合显示功能</w:t>
      </w:r>
    </w:p>
    <w:p>
      <w:pPr>
        <w:spacing w:line="300" w:lineRule="auto"/>
        <w:ind w:firstLine="480"/>
      </w:pPr>
      <w:r>
        <w:rPr>
          <w:rFonts w:ascii="仿宋" w:hAnsi="仿宋" w:eastAsia="仿宋"/>
        </w:rPr>
        <w:t>一、功能目标。AIS/雷达目标融合显示功能用于落实招标文件中关于基于OpenGL技术实现雷达回波图像在电子海图上的实时叠加，集成雷达、AIS、ARPA等导航设备动态数据。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基于OpenGL技术实现雷达回波图像在电子海图上的实时叠加，集成雷达、AIS、ARPA等导航设备动态数据。</w:t>
      </w:r>
    </w:p>
    <w:p>
      <w:pPr>
        <w:spacing w:line="300" w:lineRule="auto"/>
        <w:ind w:firstLine="480"/>
      </w:pPr>
      <w:r>
        <w:rPr>
          <w:rFonts w:ascii="仿宋" w:hAnsi="仿宋" w:eastAsia="仿宋"/>
        </w:rPr>
        <w:t>（2）将AIS目标符号、雷达回波、ARPA跟踪目标与本船符号准确叠加在电子海图相应地理位置。</w:t>
      </w:r>
    </w:p>
    <w:p>
      <w:pPr>
        <w:spacing w:line="300" w:lineRule="auto"/>
        <w:ind w:firstLine="480"/>
      </w:pPr>
      <w:r>
        <w:rPr>
          <w:rFonts w:ascii="仿宋" w:hAnsi="仿宋" w:eastAsia="仿宋"/>
        </w:rPr>
        <w:t>（3）可选显示AIS目标船舶航向、航速、船名、MMSI等信息和ARPA跟踪预测信息。</w:t>
      </w:r>
    </w:p>
    <w:p>
      <w:pPr>
        <w:spacing w:line="300" w:lineRule="auto"/>
        <w:ind w:firstLine="480"/>
      </w:pPr>
      <w:r>
        <w:rPr>
          <w:rFonts w:ascii="仿宋" w:hAnsi="仿宋" w:eastAsia="仿宋"/>
        </w:rPr>
        <w:t>（4）支持叠加电子围栏、风险区域、潮汐、海流、气象信息以及AIO等临时通告。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AIS/雷达目标融合显示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1" name="Picture 1049926591"/>
            <wp:cNvGraphicFramePr>
              <a:graphicFrameLocks noChangeAspect="1"/>
            </wp:cNvGraphicFramePr>
            <a:graphic>
              <a:graphicData uri="http://schemas.openxmlformats.org/drawingml/2006/picture">
                <pic:pic>
                  <pic:nvPicPr>
                    <pic:cNvPr id="0" name="function-002-AIS-雷达目标融合显示.png"/>
                    <pic:cNvPicPr/>
                  </pic:nvPicPr>
                  <pic:blipFill>
                    <a:blip r:embed="rId15"/>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3 AIS/雷达目标融合显示流程图</w:t>
      </w:r>
    </w:p>
    <w:p>
      <w:pPr>
        <w:spacing w:before="120" w:after="60"/>
      </w:pPr>
      <w:r>
        <w:rPr>
          <w:rFonts w:ascii="黑体" w:hAnsi="黑体" w:eastAsia="黑体"/>
          <w:b/>
          <w:sz w:val="26"/>
        </w:rPr>
        <w:t>3.航线规划与航行计算功能</w:t>
      </w:r>
    </w:p>
    <w:p>
      <w:pPr>
        <w:spacing w:line="300" w:lineRule="auto"/>
        <w:ind w:firstLine="480"/>
      </w:pPr>
      <w:r>
        <w:rPr>
          <w:rFonts w:ascii="仿宋" w:hAnsi="仿宋" w:eastAsia="仿宋"/>
        </w:rPr>
        <w:t>一、功能目标。航线规划与航行计算功能用于落实招标文件中关于支持手动或自动航线设计，允许添加、删除、拖动、排序航向点和航段。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二、建设内容。系统围绕该功能配置业务页面、数据对象、操作入口、参数项、结果展示和日志记录能力。主要建设内容包括：（1）支持手动或自动航线设计，允许添加、删除、拖动、排序航向点和航段。</w:t>
      </w:r>
    </w:p>
    <w:p>
      <w:pPr>
        <w:spacing w:line="300" w:lineRule="auto"/>
        <w:ind w:firstLine="480"/>
      </w:pPr>
      <w:r>
        <w:rPr>
          <w:rFonts w:ascii="仿宋" w:hAnsi="仿宋" w:eastAsia="仿宋"/>
        </w:rPr>
        <w:t>（2）自动执行航线安全检查，提示航线段是否穿过浅水、禁航区或接近危险物。</w:t>
      </w:r>
    </w:p>
    <w:p>
      <w:pPr>
        <w:spacing w:line="300" w:lineRule="auto"/>
        <w:ind w:firstLine="480"/>
      </w:pPr>
      <w:r>
        <w:rPr>
          <w:rFonts w:ascii="仿宋" w:hAnsi="仿宋" w:eastAsia="仿宋"/>
        </w:rPr>
        <w:t>（3）允许设定吃水、安全等深线、偏航阈值、船舶尺寸等航线安全参数。</w:t>
      </w:r>
    </w:p>
    <w:p>
      <w:pPr>
        <w:spacing w:line="300" w:lineRule="auto"/>
        <w:ind w:firstLine="480"/>
      </w:pPr>
      <w:r>
        <w:rPr>
          <w:rFonts w:ascii="仿宋" w:hAnsi="仿宋" w:eastAsia="仿宋"/>
        </w:rPr>
        <w:t>（4）具备真距离、方位和ETA估算能力，并基于GPS/DGPS持续监控船舶是否按计划航线行驶。</w:t>
      </w:r>
    </w:p>
    <w:p>
      <w:pPr>
        <w:spacing w:line="300" w:lineRule="auto"/>
        <w:ind w:firstLine="480"/>
      </w:pPr>
      <w:r>
        <w:rPr>
          <w:rFonts w:ascii="仿宋" w:hAnsi="仿宋" w:eastAsia="仿宋"/>
        </w:rPr>
        <w:t>（5）连续记录并存储历史航迹、船位、速度、航向和报警事件，用于航后分析和VDR备份。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航线规划与航行计算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2" name="Picture 1049926592"/>
            <wp:cNvGraphicFramePr>
              <a:graphicFrameLocks noChangeAspect="1"/>
            </wp:cNvGraphicFramePr>
            <a:graphic>
              <a:graphicData uri="http://schemas.openxmlformats.org/drawingml/2006/picture">
                <pic:pic>
                  <pic:nvPicPr>
                    <pic:cNvPr id="0" name="function-003-航线规划与航行计算.png"/>
                    <pic:cNvPicPr/>
                  </pic:nvPicPr>
                  <pic:blipFill>
                    <a:blip r:embed="rId16"/>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4 航线规划与航行计算流程图</w:t>
      </w:r>
    </w:p>
    <w:p>
      <w:pPr>
        <w:spacing w:before="120" w:after="60"/>
      </w:pPr>
      <w:r>
        <w:rPr>
          <w:rFonts w:ascii="黑体" w:hAnsi="黑体" w:eastAsia="黑体"/>
          <w:b/>
          <w:sz w:val="26"/>
        </w:rPr>
        <w:t>4.安全等深线与水深告警功能</w:t>
      </w:r>
    </w:p>
    <w:p>
      <w:pPr>
        <w:spacing w:line="300" w:lineRule="auto"/>
        <w:ind w:firstLine="480"/>
      </w:pPr>
      <w:r>
        <w:rPr>
          <w:rFonts w:ascii="仿宋" w:hAnsi="仿宋" w:eastAsia="仿宋"/>
        </w:rPr>
        <w:t>一、功能目标。安全等深线与水深告警功能用于落实招标文件中关于允许输入船舶吃水和富裕水深，系统自动计算并设置安全等深线和安全轮廓线。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允许输入船舶吃水和富裕水深，系统自动计算并设置安全等深线和安全轮廓线。</w:t>
      </w:r>
    </w:p>
    <w:p>
      <w:pPr>
        <w:spacing w:line="300" w:lineRule="auto"/>
        <w:ind w:firstLine="480"/>
      </w:pPr>
      <w:r>
        <w:rPr>
          <w:rFonts w:ascii="仿宋" w:hAnsi="仿宋" w:eastAsia="仿宋"/>
        </w:rPr>
        <w:t>（2）在海图上突出显示浅于安全等深线的水域，并将安全水域显示为规范安全色。</w:t>
      </w:r>
    </w:p>
    <w:p>
      <w:pPr>
        <w:spacing w:line="300" w:lineRule="auto"/>
        <w:ind w:firstLine="480"/>
      </w:pPr>
      <w:r>
        <w:rPr>
          <w:rFonts w:ascii="仿宋" w:hAnsi="仿宋" w:eastAsia="仿宋"/>
        </w:rPr>
        <w:t>（3）本船或安全轮廓线即将进入不安全水域、禁航区、限航区、港口报告区或电子围栏时立即报警。</w:t>
      </w:r>
    </w:p>
    <w:p>
      <w:pPr>
        <w:spacing w:line="300" w:lineRule="auto"/>
        <w:ind w:firstLine="480"/>
      </w:pPr>
      <w:r>
        <w:rPr>
          <w:rFonts w:ascii="仿宋" w:hAnsi="仿宋" w:eastAsia="仿宋"/>
        </w:rPr>
        <w:t>（4）预测安全矢量接近孤立危险物或未知浅水区时触发报警，并基于AIS/雷达目标计算CPA/TCPA碰撞风险。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安全等深线与水深告警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3" name="Picture 1049926593"/>
            <wp:cNvGraphicFramePr>
              <a:graphicFrameLocks noChangeAspect="1"/>
            </wp:cNvGraphicFramePr>
            <a:graphic>
              <a:graphicData uri="http://schemas.openxmlformats.org/drawingml/2006/picture">
                <pic:pic>
                  <pic:nvPicPr>
                    <pic:cNvPr id="0" name="function-004-安全等深线与水深告警.png"/>
                    <pic:cNvPicPr/>
                  </pic:nvPicPr>
                  <pic:blipFill>
                    <a:blip r:embed="rId17"/>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5 安全等深线与水深告警流程图</w:t>
      </w:r>
    </w:p>
    <w:p>
      <w:pPr>
        <w:spacing w:before="120" w:after="60"/>
      </w:pPr>
      <w:r>
        <w:rPr>
          <w:rFonts w:ascii="黑体" w:hAnsi="黑体" w:eastAsia="黑体"/>
          <w:b/>
          <w:sz w:val="26"/>
        </w:rPr>
        <w:t>5.航行监控导航与安全预警功能</w:t>
      </w:r>
    </w:p>
    <w:p>
      <w:pPr>
        <w:spacing w:line="300" w:lineRule="auto"/>
        <w:ind w:firstLine="480"/>
      </w:pPr>
      <w:r>
        <w:rPr>
          <w:rFonts w:ascii="仿宋" w:hAnsi="仿宋" w:eastAsia="仿宋"/>
        </w:rPr>
        <w:t>一、功能目标。航行监控导航与安全预警功能用于落实招标文件中关于船舶实时位置偏离计划航线超过设定偏航阈值（XTD）时立即发出告警。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二、建设内容。系统围绕该功能配置业务页面、数据对象、操作入口、参数项、结果展示和日志记录能力。主要建设内容包括：（1）船舶实时位置偏离计划航线超过设定偏航阈值（XTD）时立即发出告警。</w:t>
      </w:r>
    </w:p>
    <w:p>
      <w:pPr>
        <w:spacing w:line="300" w:lineRule="auto"/>
        <w:ind w:firstLine="480"/>
      </w:pPr>
      <w:r>
        <w:rPr>
          <w:rFonts w:ascii="仿宋" w:hAnsi="仿宋" w:eastAsia="仿宋"/>
        </w:rPr>
        <w:t>（2）对GPS信号丢失、陀螺罗经数据异常、海图更新延迟、电源切换等系统级故障发出告警。</w:t>
      </w:r>
    </w:p>
    <w:p>
      <w:pPr>
        <w:spacing w:line="300" w:lineRule="auto"/>
        <w:ind w:firstLine="480"/>
      </w:pPr>
      <w:r>
        <w:rPr>
          <w:rFonts w:ascii="仿宋" w:hAnsi="仿宋" w:eastAsia="仿宋"/>
        </w:rPr>
        <w:t>（3）遵循IMO/IHO规范对报警进行紧急、警报、指示等优先级分类，并采用不同声光模式。</w:t>
      </w:r>
    </w:p>
    <w:p>
      <w:pPr>
        <w:spacing w:line="300" w:lineRule="auto"/>
        <w:ind w:firstLine="480"/>
      </w:pPr>
      <w:r>
        <w:rPr>
          <w:rFonts w:ascii="仿宋" w:hAnsi="仿宋" w:eastAsia="仿宋"/>
        </w:rPr>
        <w:t>（4）提供告警/预警信息列表，允许船员确认、消除告警。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航行监控导航与安全预警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4" name="Picture 1049926594"/>
            <wp:cNvGraphicFramePr>
              <a:graphicFrameLocks noChangeAspect="1"/>
            </wp:cNvGraphicFramePr>
            <a:graphic>
              <a:graphicData uri="http://schemas.openxmlformats.org/drawingml/2006/picture">
                <pic:pic>
                  <pic:nvPicPr>
                    <pic:cNvPr id="0" name="function-005-航行监控导航与安全预警.png"/>
                    <pic:cNvPicPr/>
                  </pic:nvPicPr>
                  <pic:blipFill>
                    <a:blip r:embed="rId18"/>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6 航行监控导航与安全预警流程图</w:t>
      </w:r>
    </w:p>
    <w:p>
      <w:pPr>
        <w:spacing w:before="120" w:after="60"/>
      </w:pPr>
      <w:r>
        <w:rPr>
          <w:rFonts w:ascii="黑体" w:hAnsi="黑体" w:eastAsia="黑体"/>
          <w:b/>
          <w:sz w:val="26"/>
        </w:rPr>
        <w:t>6.个性化交互与重要操作防误功能</w:t>
      </w:r>
    </w:p>
    <w:p>
      <w:pPr>
        <w:spacing w:line="300" w:lineRule="auto"/>
        <w:ind w:firstLine="480"/>
      </w:pPr>
      <w:r>
        <w:rPr>
          <w:rFonts w:ascii="仿宋" w:hAnsi="仿宋" w:eastAsia="仿宋"/>
        </w:rPr>
        <w:t>一、功能目标。个性化交互与重要操作防误功能用于落实招标文件中关于提供直观图形化界面，菜单层级简洁明了，支持常用功能快捷键访问。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二、建设内容。系统围绕该功能配置业务页面、数据对象、操作入口、参数项、结果展示和日志记录能力。主要建设内容包括：（1）提供直观图形化界面，菜单层级简洁明了，支持常用功能快捷键访问。</w:t>
      </w:r>
    </w:p>
    <w:p>
      <w:pPr>
        <w:spacing w:line="300" w:lineRule="auto"/>
        <w:ind w:firstLine="480"/>
      </w:pPr>
      <w:r>
        <w:rPr>
          <w:rFonts w:ascii="仿宋" w:hAnsi="仿宋" w:eastAsia="仿宋"/>
        </w:rPr>
        <w:t>（2）软件界面适配高分辨率显示，支持通过软件指令调节背景亮度以适应夜间模式。</w:t>
      </w:r>
    </w:p>
    <w:p>
      <w:pPr>
        <w:spacing w:line="300" w:lineRule="auto"/>
        <w:ind w:firstLine="480"/>
      </w:pPr>
      <w:r>
        <w:rPr>
          <w:rFonts w:ascii="仿宋" w:hAnsi="仿宋" w:eastAsia="仿宋"/>
        </w:rPr>
        <w:t>（3）删除航线、修改安全参数等重要操作弹出确认对话框并要求船员二次确认。</w:t>
      </w:r>
    </w:p>
    <w:p>
      <w:pPr>
        <w:spacing w:line="300" w:lineRule="auto"/>
        <w:ind w:firstLine="480"/>
      </w:pPr>
      <w:r>
        <w:rPr>
          <w:rFonts w:ascii="仿宋" w:hAnsi="仿宋" w:eastAsia="仿宋"/>
        </w:rPr>
        <w:t>（4）支持触摸屏、鼠标、键盘、轨迹球等多种输入方式。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个性化交互与重要操作防误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5" name="Picture 1049926595"/>
            <wp:cNvGraphicFramePr>
              <a:graphicFrameLocks noChangeAspect="1"/>
            </wp:cNvGraphicFramePr>
            <a:graphic>
              <a:graphicData uri="http://schemas.openxmlformats.org/drawingml/2006/picture">
                <pic:pic>
                  <pic:nvPicPr>
                    <pic:cNvPr id="0" name="function-006-个性化交互与重要操作防误.png"/>
                    <pic:cNvPicPr/>
                  </pic:nvPicPr>
                  <pic:blipFill>
                    <a:blip r:embed="rId19"/>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7 个性化交互与重要操作防误流程图</w:t>
      </w:r>
    </w:p>
    <w:p>
      <w:pPr>
        <w:spacing w:before="120" w:after="60"/>
      </w:pPr>
      <w:r>
        <w:rPr>
          <w:rFonts w:ascii="黑体" w:hAnsi="黑体" w:eastAsia="黑体"/>
          <w:b/>
          <w:sz w:val="26"/>
        </w:rPr>
        <w:t>7.平台架构与多设备协同功能</w:t>
      </w:r>
    </w:p>
    <w:p>
      <w:pPr>
        <w:spacing w:line="300" w:lineRule="auto"/>
        <w:ind w:firstLine="480"/>
      </w:pPr>
      <w:r>
        <w:rPr>
          <w:rFonts w:ascii="仿宋" w:hAnsi="仿宋" w:eastAsia="仿宋"/>
        </w:rPr>
        <w:t>一、功能目标。平台架构与多设备协同功能用于落实招标文件中关于支持龙芯、飞腾、瑞芯微等硬件平台，以及麒麟、Ubuntu等操作系统部署并长期稳定运行。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支持龙芯、飞腾、瑞芯微等硬件平台，以及麒麟、Ubuntu等操作系统部署并长期稳定运行。</w:t>
      </w:r>
    </w:p>
    <w:p>
      <w:pPr>
        <w:spacing w:line="300" w:lineRule="auto"/>
        <w:ind w:firstLine="480"/>
      </w:pPr>
      <w:r>
        <w:rPr>
          <w:rFonts w:ascii="仿宋" w:hAnsi="仿宋" w:eastAsia="仿宋"/>
        </w:rPr>
        <w:t>（2）软件架构支持多台设备按优先级运行。</w:t>
      </w:r>
    </w:p>
    <w:p>
      <w:pPr>
        <w:spacing w:line="300" w:lineRule="auto"/>
        <w:ind w:firstLine="480"/>
      </w:pPr>
      <w:r>
        <w:rPr>
          <w:rFonts w:ascii="仿宋" w:hAnsi="仿宋" w:eastAsia="仿宋"/>
        </w:rPr>
        <w:t>（3）采用分层结构和模块化设计，预留标准数据接口，支持后续接入新型号导航传感器或功能模块。</w:t>
      </w:r>
    </w:p>
    <w:p>
      <w:pPr>
        <w:spacing w:line="300" w:lineRule="auto"/>
        <w:ind w:firstLine="480"/>
      </w:pPr>
      <w:r>
        <w:rPr>
          <w:rFonts w:ascii="仿宋" w:hAnsi="仿宋" w:eastAsia="仿宋"/>
        </w:rPr>
        <w:t>（4）本软件支持用户操作界面与显示，采用C++编程语言，并充分考虑继承性、灵活性和可维护性。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平台架构与多设备协同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6" name="Picture 1049926596"/>
            <wp:cNvGraphicFramePr>
              <a:graphicFrameLocks noChangeAspect="1"/>
            </wp:cNvGraphicFramePr>
            <a:graphic>
              <a:graphicData uri="http://schemas.openxmlformats.org/drawingml/2006/picture">
                <pic:pic>
                  <pic:nvPicPr>
                    <pic:cNvPr id="0" name="function-007-平台架构与多设备协同.png"/>
                    <pic:cNvPicPr/>
                  </pic:nvPicPr>
                  <pic:blipFill>
                    <a:blip r:embed="rId20"/>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8 平台架构与多设备协同流程图</w:t>
      </w:r>
    </w:p>
    <w:p>
      <w:pPr>
        <w:spacing w:before="120" w:after="60"/>
      </w:pPr>
      <w:r>
        <w:rPr>
          <w:rFonts w:ascii="黑体" w:hAnsi="黑体" w:eastAsia="黑体"/>
          <w:b/>
          <w:sz w:val="26"/>
        </w:rPr>
        <w:t>8.数据维护、海图更新与接口集成功能</w:t>
      </w:r>
    </w:p>
    <w:p>
      <w:pPr>
        <w:spacing w:line="300" w:lineRule="auto"/>
        <w:ind w:firstLine="480"/>
      </w:pPr>
      <w:r>
        <w:rPr>
          <w:rFonts w:ascii="仿宋" w:hAnsi="仿宋" w:eastAsia="仿宋"/>
        </w:rPr>
        <w:t>一、功能目标。数据维护、海图更新与接口集成功能用于落实招标文件中关于接收、解析和应用官方发布的S-63加密格式海图更新数据，并生成更新记录。等要求，支撑电子海图显示与信息系统在船载环境下完成规范显示、实时处理、安全预警和运行记录。该功能设计以标准符合、操作清晰、数据准确、响应及时和安全可控为目标，并与技术评分表中功能符合性、流程清晰度、接口理解和关键技术相关性要求相对应。</w:t>
      </w:r>
    </w:p>
    <w:p>
      <w:pPr>
        <w:spacing w:line="300" w:lineRule="auto"/>
        <w:ind w:firstLine="480"/>
      </w:pPr>
      <w:r>
        <w:rPr>
          <w:rFonts w:ascii="仿宋" w:hAnsi="仿宋" w:eastAsia="仿宋"/>
        </w:rPr>
        <w:t>二、建设内容。系统围绕该功能配置业务页面、数据对象、操作入口、参数项、结果展示和日志记录能力。主要建设内容包括：（1）接收、解析和应用官方发布的S-63加密格式海图更新数据，并生成更新记录。</w:t>
      </w:r>
    </w:p>
    <w:p>
      <w:pPr>
        <w:spacing w:line="300" w:lineRule="auto"/>
        <w:ind w:firstLine="480"/>
      </w:pPr>
      <w:r>
        <w:rPr>
          <w:rFonts w:ascii="仿宋" w:hAnsi="仿宋" w:eastAsia="仿宋"/>
        </w:rPr>
        <w:t>（2）定期自动备份系统内部存储结构（SENC）和所有航行记录，确保数据安全。</w:t>
      </w:r>
    </w:p>
    <w:p>
      <w:pPr>
        <w:spacing w:line="300" w:lineRule="auto"/>
        <w:ind w:firstLine="480"/>
      </w:pPr>
      <w:r>
        <w:rPr>
          <w:rFonts w:ascii="仿宋" w:hAnsi="仿宋" w:eastAsia="仿宋"/>
        </w:rPr>
        <w:t>（3）软件接口遵循NMEA0183/2000协议，与船载设备进行数据通信。</w:t>
      </w:r>
    </w:p>
    <w:p>
      <w:pPr>
        <w:spacing w:line="300" w:lineRule="auto"/>
        <w:ind w:firstLine="480"/>
      </w:pPr>
      <w:r>
        <w:rPr>
          <w:rFonts w:ascii="仿宋" w:hAnsi="仿宋" w:eastAsia="仿宋"/>
        </w:rPr>
        <w:t>（4）支持与USB存储设备、便携式电脑进行数据交换，支持CSV、XML等通用格式导入导出。</w:t>
      </w:r>
    </w:p>
    <w:p>
      <w:pPr>
        <w:spacing w:line="300" w:lineRule="auto"/>
        <w:ind w:firstLine="480"/>
      </w:pPr>
      <w:r>
        <w:rPr>
          <w:rFonts w:ascii="仿宋" w:hAnsi="仿宋" w:eastAsia="仿宋"/>
        </w:rPr>
        <w:t>（5）支持GPS/北斗、电罗经、计程仪、BNWAS、VDR、BAM、MSI、INS等设备或系统接口。 相关操作通过统一菜单、工具栏、图标或快捷键进入，关键状态在电子海图主界面、信息面板、告警列表或配置界面中集中展示，保证船员能够在航行场景下快速识别、快速操作和快速确认。</w:t>
      </w:r>
    </w:p>
    <w:p>
      <w:pPr>
        <w:spacing w:line="300" w:lineRule="auto"/>
        <w:ind w:firstLine="480"/>
      </w:pPr>
      <w:r>
        <w:rPr>
          <w:rFonts w:ascii="仿宋" w:hAnsi="仿宋" w:eastAsia="仿宋"/>
        </w:rPr>
        <w:t>三、实现方式。前端采用适配高分辨率显示的图形界面组织操作区域、海图区域、状态区域和告警区域，后端通过业务服务、规则引擎、数据访问组件和接口组件完成数据处理。涉及海图、位置、目标、航线、告警和配置的数据均经过格式校验、权限校验和状态校验后写入或读取。涉及外部数据的场景通过协议解析、缓存队列、时间戳比对和异常重连机制保证数据连续性。</w:t>
      </w:r>
    </w:p>
    <w:p>
      <w:pPr>
        <w:spacing w:line="300" w:lineRule="auto"/>
        <w:ind w:firstLine="480"/>
      </w:pPr>
      <w:r>
        <w:rPr>
          <w:rFonts w:ascii="仿宋" w:hAnsi="仿宋" w:eastAsia="仿宋"/>
        </w:rPr>
        <w:t>四、业务流程。用户进入对应功能后，系统先校验登录状态、岗位权限和当前运行模式，再加载所需海图、航线、目标、配置或接口数据。用户发起查询、编辑、监控或确认操作后，系统执行业务规则校验；校验通过时更新显示或写入数据，校验不通过时返回明确提示。涉及安全风险、接口异常或重要参数变化时，系统生成告警或确认提示，并同步记录操作日志。</w:t>
      </w:r>
    </w:p>
    <w:p>
      <w:pPr>
        <w:spacing w:line="300" w:lineRule="auto"/>
        <w:ind w:firstLine="480"/>
      </w:pPr>
      <w:r>
        <w:rPr>
          <w:rFonts w:ascii="仿宋" w:hAnsi="仿宋" w:eastAsia="仿宋"/>
        </w:rPr>
        <w:t>五、数据处理逻辑。该功能处理的数据包括输入参数、海图对象、目标对象、航线对象、告警事件、系统配置和操作记录。系统对输入数据进行范围、格式、完整性和来源校验；对业务计算结果保留时间、来源和版本信息；对重要历史数据进行归档和备份。数据查询和统计过程按照性能要求优化索引、缓存和计算路径，保证一般查询、汇总和显示响应满足招标指标。</w:t>
      </w:r>
    </w:p>
    <w:p>
      <w:pPr>
        <w:spacing w:line="300" w:lineRule="auto"/>
        <w:ind w:firstLine="480"/>
      </w:pPr>
      <w:r>
        <w:rPr>
          <w:rFonts w:ascii="仿宋" w:hAnsi="仿宋" w:eastAsia="仿宋"/>
        </w:rPr>
        <w:t>六、权限与安全控制。系统按岗位职责控制查看、编辑、确认、删除、导入、导出和系统配置权限。删除航线、修改安全参数、应用海图更新、调整接口配置等重要操作必须经过二次确认。所有关键操作写入审计日志，日志内容包括操作人员、时间、对象、参数摘要、处理结果和异常信息，为质量监督、问题追溯和安全审计提供依据。</w:t>
      </w:r>
    </w:p>
    <w:p>
      <w:pPr>
        <w:spacing w:line="300" w:lineRule="auto"/>
        <w:ind w:firstLine="480"/>
      </w:pPr>
      <w:r>
        <w:rPr>
          <w:rFonts w:ascii="仿宋" w:hAnsi="仿宋" w:eastAsia="仿宋"/>
        </w:rPr>
        <w:t>七、异常处理与运维保障。当出现数据缺失、接口中断、格式不合法、权限不足、计算失败或存储异常时，系统返回明确提示并记录异常日志。对可恢复异常执行重试、回滚或降级显示；对影响航行安全的异常按照告警优先级进行声光提示。运维人员可通过日志、接口状态、配置版本和备份记录定位问题，形成发现、处置、验证、归档的闭环。</w:t>
      </w:r>
    </w:p>
    <w:p>
      <w:pPr>
        <w:spacing w:line="300" w:lineRule="auto"/>
        <w:ind w:firstLine="480"/>
      </w:pPr>
      <w:r>
        <w:rPr>
          <w:rFonts w:ascii="仿宋" w:hAnsi="仿宋" w:eastAsia="仿宋"/>
        </w:rPr>
        <w:t>八、招标要求响应说明。本功能逐项响应技术要求中关于数据维护、海图更新与接口集成的功能、接口、性能、安全和运维要求，并通过流程图展示业务处理路径。设计中未写入未经确认的厂商型号、人员资质、报价或承诺日期，涉及最终承诺和证明材料的事项在确认清单或复核清单中保留。</w:t>
      </w:r>
    </w:p>
    <w:p>
      <w:pPr>
        <w:jc w:val="center"/>
      </w:pPr>
      <w:r>
        <w:rPr>
          <w:rFonts w:ascii="仿宋" w:hAnsi="仿宋" w:eastAsia="仿宋"/>
        </w:rPr>
        <w:drawing>
          <wp:inline xmlns:a="http://schemas.openxmlformats.org/drawingml/2006/main" xmlns:pic="http://schemas.openxmlformats.org/drawingml/2006/picture">
            <wp:extent cx="5394960" cy="1999732"/>
            <wp:docPr id="1049926597" name="Picture 1049926597"/>
            <wp:cNvGraphicFramePr>
              <a:graphicFrameLocks noChangeAspect="1"/>
            </wp:cNvGraphicFramePr>
            <a:graphic>
              <a:graphicData uri="http://schemas.openxmlformats.org/drawingml/2006/picture">
                <pic:pic>
                  <pic:nvPicPr>
                    <pic:cNvPr id="0" name="function-008-数据维护、海图更新与接口集成.png"/>
                    <pic:cNvPicPr/>
                  </pic:nvPicPr>
                  <pic:blipFill>
                    <a:blip r:embed="rId21"/>
                    <a:stretch>
                      <a:fillRect/>
                    </a:stretch>
                  </pic:blipFill>
                  <pic:spPr>
                    <a:xfrm>
                      <a:off x="0" y="0"/>
                      <a:ext cx="5394960" cy="1999732"/>
                    </a:xfrm>
                    <a:prstGeom prst="rect"/>
                  </pic:spPr>
                </pic:pic>
              </a:graphicData>
            </a:graphic>
          </wp:inline>
        </w:drawing>
      </w:r>
    </w:p>
    <w:p>
      <w:pPr>
        <w:jc w:val="center"/>
      </w:pPr>
      <w:r>
        <w:rPr>
          <w:rFonts w:ascii="仿宋" w:hAnsi="仿宋" w:eastAsia="仿宋"/>
          <w:sz w:val="21"/>
        </w:rPr>
        <w:t>图 9 数据维护、海图更新与接口集成流程图</w:t>
      </w:r>
    </w:p>
    <w:p w14: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p w14:paraId="7A05D4C5">
      <w:pPr>
        <w:pStyle w:val="3"/>
        <w:numPr>
          <w:ilvl w:val="0"/>
          <w:numId w:val="0"/>
        </w:numPr>
        <w:bidi w:val="0"/>
        <w:ind w:leftChars="200"/>
        <w:rPr>
          <w:rFonts w:hint="eastAsia" w:ascii="黑体" w:hAnsi="黑体" w:eastAsia="黑体" w:cs="黑体"/>
          <w:sz w:val="28"/>
          <w:szCs w:val="32"/>
        </w:rPr>
      </w:pPr>
      <w:r>
        <w:rPr>
          <w:rFonts w:hint="eastAsia" w:ascii="仿宋" w:hAnsi="仿宋" w:eastAsia="仿宋"/>
          <w:b w:val="0"/>
          <w:sz w:val="24"/>
          <w:lang w:eastAsia="zh-CN"/>
        </w:rPr>
        <w:t>性能设计以招标文件列明指标为约束，将海图加载、图形显示、数据查询、数据汇总、指令响应和长耗时操作提示纳入统一性能控制范围。系统对交互类操作优先保障即时反馈，对查询和汇总类操作优化数据访问路径，对图形渲染类操作控制刷新频率和增量绘制，对接口类操作建立缓存与状态监测，确保航行场景下关键操作不被后台任务阻塞。</w:t>
      </w:r>
      <w:r>
        <w:rPr>
          <w:rFonts w:hint="eastAsia" w:ascii="仿宋" w:hAnsi="仿宋" w:eastAsia="仿宋"/>
          <w:sz w:val="24"/>
          <w:lang w:val="en-US" w:eastAsia="zh-CN"/>
        </w:rPr>
      </w:r>
      <w:r>
        <w:rPr>
          <w:rFonts w:hint="eastAsia" w:ascii="仿宋" w:hAnsi="仿宋" w:eastAsia="仿宋"/>
          <w:sz w:val="24"/>
          <w:lang w:eastAsia="zh-CN"/>
        </w:rPr>
      </w:r>
    </w:p>
    <w:p>
      <w:pPr>
        <w:spacing w:line="300" w:lineRule="auto"/>
        <w:ind w:firstLine="480"/>
      </w:pPr>
      <w:r>
        <w:rPr>
          <w:rFonts w:ascii="仿宋" w:hAnsi="仿宋" w:eastAsia="仿宋"/>
        </w:rPr>
        <w:t>一般操作响应时间（数据查阅、图表显示等操作）：＜2s。 系统通过请求分级、缓存优化、异步处理、渲染刷新控制和日志监测等方式进行响应。</w:t>
      </w:r>
    </w:p>
    <w:p>
      <w:pPr>
        <w:spacing w:line="300" w:lineRule="auto"/>
        <w:ind w:firstLine="480"/>
      </w:pPr>
      <w:r>
        <w:rPr>
          <w:rFonts w:ascii="仿宋" w:hAnsi="仿宋" w:eastAsia="仿宋"/>
        </w:rPr>
        <w:t>系统初始化时间：＜10s。 系统通过请求分级、缓存优化、异步处理、渲染刷新控制和日志监测等方式进行响应。</w:t>
      </w:r>
    </w:p>
    <w:p>
      <w:pPr>
        <w:spacing w:line="300" w:lineRule="auto"/>
        <w:ind w:firstLine="480"/>
      </w:pPr>
      <w:r>
        <w:rPr>
          <w:rFonts w:ascii="仿宋" w:hAnsi="仿宋" w:eastAsia="仿宋"/>
        </w:rPr>
        <w:t>一般数据查询时间：＜5s。 系统通过请求分级、缓存优化、异步处理、渲染刷新控制和日志监测等方式进行响应。</w:t>
      </w:r>
    </w:p>
    <w:p>
      <w:pPr>
        <w:spacing w:line="300" w:lineRule="auto"/>
        <w:ind w:firstLine="480"/>
      </w:pPr>
      <w:r>
        <w:rPr>
          <w:rFonts w:ascii="仿宋" w:hAnsi="仿宋" w:eastAsia="仿宋"/>
        </w:rPr>
        <w:t>一般数据汇总时间：＜10s。 系统通过请求分级、缓存优化、异步处理、渲染刷新控制和日志监测等方式进行响应。</w:t>
      </w:r>
    </w:p>
    <w:p>
      <w:pPr>
        <w:spacing w:line="300" w:lineRule="auto"/>
        <w:ind w:firstLine="480"/>
      </w:pPr>
      <w:r>
        <w:rPr>
          <w:rFonts w:ascii="仿宋" w:hAnsi="仿宋" w:eastAsia="仿宋"/>
        </w:rPr>
        <w:t>指令响应率：100%。 系统通过请求分级、缓存优化、异步处理、渲染刷新控制和日志监测等方式进行响应。</w:t>
      </w:r>
    </w:p>
    <w:p>
      <w:pPr>
        <w:spacing w:line="300" w:lineRule="auto"/>
        <w:ind w:firstLine="480"/>
      </w:pPr>
      <w:r>
        <w:rPr>
          <w:rFonts w:ascii="仿宋" w:hAnsi="仿宋" w:eastAsia="仿宋"/>
        </w:rPr>
        <w:t>系统服务稳定性：99%。 系统通过请求分级、缓存优化、异步处理、渲染刷新控制和日志监测等方式进行响应。</w:t>
      </w:r>
    </w:p>
    <w:p>
      <w:pPr>
        <w:spacing w:line="300" w:lineRule="auto"/>
        <w:ind w:firstLine="480"/>
      </w:pPr>
      <w:r>
        <w:rPr>
          <w:rFonts w:ascii="仿宋" w:hAnsi="仿宋" w:eastAsia="仿宋"/>
        </w:rPr>
        <w:t>特殊操作超过规定时间时，向用户给出明确等待时间或进度条提示。 系统通过请求分级、缓存优化、异步处理、渲染刷新控制和日志监测等方式进行响应。</w:t>
      </w:r>
    </w:p>
    <w:p>
      <w:pPr>
        <w:spacing w:line="300" w:lineRule="auto"/>
        <w:ind w:firstLine="480"/>
      </w:pPr>
      <w:r>
        <w:rPr>
          <w:rFonts w:ascii="仿宋" w:hAnsi="仿宋" w:eastAsia="仿宋"/>
        </w:rPr>
        <w:t>对特殊操作超过规定时间的场景，系统在前端给出明确等待时间、进度条或处理状态提示，避免用户误判系统无响应。性能测试阶段应围绕海图初始化、海图缩放漫游、目标叠加刷新、航线安全检查、历史记录查询、海图更新应用、接口中断恢复等场景建立测试用例和记录，形成可供验收复核的性能测试结果。</w:t>
      </w:r>
    </w:p>
    <w:p w14:paraId="29318CA3">
      <w:pPr>
        <w:spacing w:line="360" w:lineRule="auto"/>
        <w:ind w:firstLine="480" w:firstLineChars="200"/>
        <w:rPr>
          <w:rFonts w:hint="eastAsia"/>
        </w:rPr>
      </w:pPr>
    </w:p>
    <w:p w14: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14:paraId="732E1BBE">
      <w:pPr>
        <w:pStyle w:val="3"/>
        <w:numPr>
          <w:ilvl w:val="0"/>
          <w:numId w:val="0"/>
        </w:numPr>
        <w:bidi w:val="0"/>
        <w:ind w:leftChars="200"/>
        <w:rPr>
          <w:rFonts w:hint="eastAsia" w:ascii="黑体" w:hAnsi="黑体" w:eastAsia="黑体" w:cs="黑体"/>
          <w:sz w:val="28"/>
          <w:szCs w:val="32"/>
        </w:rPr>
      </w:pPr>
      <w:r>
        <w:rPr>
          <w:rFonts w:hint="eastAsia" w:ascii="仿宋" w:hAnsi="仿宋" w:eastAsia="仿宋"/>
          <w:b w:val="0"/>
          <w:sz w:val="24"/>
          <w:lang w:eastAsia="zh-CN"/>
        </w:rPr>
        <w:t>数据库设计围绕海图资源、航线资源、航行记录、告警事件、接口数据、系统配置、用户权限、海图更新记录和运维日志等核心对象展开。系统数据设计遵循业务分层、对象清晰、来源可追溯、更新可记录、异常可回滚和备份可恢复原则。涉及海图数据时，以S-57/S-63数据解析和SENC内部存储结构为基础；涉及运行数据时，按航次、时间、设备、来源和事件类型建立索引，支撑航后分析、VDR备份、质量监督和验收检查。</w:t>
      </w:r>
      <w:r>
        <w:rPr>
          <w:rFonts w:hint="eastAsia" w:ascii="仿宋" w:hAnsi="仿宋" w:eastAsia="仿宋"/>
          <w:sz w:val="24"/>
          <w:lang w:val="en-US" w:eastAsia="zh-CN"/>
        </w:rPr>
      </w:r>
      <w:r>
        <w:rPr>
          <w:rFonts w:hint="eastAsia" w:ascii="仿宋" w:hAnsi="仿宋" w:eastAsia="仿宋"/>
          <w:sz w:val="24"/>
          <w:lang w:eastAsia="zh-CN"/>
        </w:rPr>
      </w:r>
    </w:p>
    <w:p w14: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仿宋" w:ascii="仿宋" w:hAnsi="仿宋"/>
          <w:bCs/>
          <w:szCs w:val="32"/>
          <w:lang w:val="en-US" w:eastAsia="zh-CN"/>
        </w:rPr>
        <w:t>数据库架构</w:t>
      </w:r>
    </w:p>
    <w:p w14:paraId="712E5FA7">
      <w:pPr>
        <w:adjustRightInd w:val="0"/>
        <w:spacing w:line="360" w:lineRule="auto"/>
        <w:ind w:firstLine="420"/>
        <w:rPr>
          <w:rFonts w:ascii="Helvetica" w:hAnsi="Helvetica" w:eastAsia="Helvetica" w:cs="Helvetica"/>
          <w:color w:val="707070"/>
          <w:sz w:val="21"/>
          <w:szCs w:val="21"/>
          <w:shd w:val="clear" w:color="auto" w:fill="F5F6F8"/>
        </w:rPr>
      </w:pPr>
      <w:r>
        <w:rPr>
          <w:rFonts w:ascii="仿宋" w:hAnsi="仿宋" w:eastAsia="仿宋"/>
          <w:b w:val="0"/>
          <w:sz w:val="24"/>
        </w:rPr>
        <w:t>数据库架构分为基础字典层、海图资源层、业务运行层、接口交换层、系统管理层和备份归档层。基础字典层保存代码表、告警级别、设备类型、角色权限和配置项；海图资源层保存SENC索引、海图单元、更新记录和要素显示控制信息；业务运行层保存航线、航点、航段、航迹、船位、速度、航向、告警事件和确认记录；接口交换层保存传感器数据缓存、外部文件导入导出记录和协议解析状态；系统管理层保存用户、角色、权限、审计日志和系统配置；备份归档层保存定期备份、恢复记录和历史归档索引。</w:t>
      </w:r>
    </w:p>
    <w:p>
      <w:pPr>
        <w:spacing w:line="300" w:lineRule="auto"/>
        <w:ind w:firstLine="480"/>
      </w:pPr>
      <w:r>
        <w:rPr>
          <w:rFonts w:ascii="仿宋" w:hAnsi="仿宋" w:eastAsia="仿宋"/>
        </w:rPr>
        <w:t>数据库访问采用统一数据访问组件封装，业务模块不直接操作底层表结构。系统对高频查询对象建立索引，对历史航迹和告警事件按时间维度归档，对海图更新和系统配置保留版本记录。涉及敏感配置、用户权限和关键航行数据的访问必须经过权限校验并记录审计日志。</w:t>
      </w:r>
    </w:p>
    <w:p w14: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仿宋" w:ascii="仿宋" w:hAnsi="仿宋"/>
          <w:bCs/>
          <w:szCs w:val="32"/>
          <w:lang w:val="en-US" w:eastAsia="zh-CN"/>
        </w:rPr>
        <w:t>核心业务设计</w:t>
      </w:r>
    </w:p>
    <w:p w14:paraId="78B9905F">
      <w:pPr>
        <w:adjustRightInd w:val="0"/>
        <w:spacing w:line="360" w:lineRule="auto"/>
        <w:ind w:firstLine="420"/>
        <w:rPr>
          <w:rFonts w:ascii="Helvetica" w:hAnsi="Helvetica" w:eastAsia="Helvetica" w:cs="Helvetica"/>
          <w:color w:val="707070"/>
          <w:sz w:val="21"/>
          <w:szCs w:val="21"/>
          <w:shd w:val="clear" w:color="auto" w:fill="F5F6F8"/>
        </w:rPr>
      </w:pPr>
      <w:r>
        <w:rPr>
          <w:rFonts w:ascii="仿宋" w:hAnsi="仿宋" w:eastAsia="仿宋"/>
          <w:b w:val="0"/>
          <w:sz w:val="24"/>
        </w:rPr>
        <w:t>核心业务数据包括海图数据、SENC数据、航线数据、航点航段数据、船舶动态数据、AIS目标数据、雷达/ARPA目标数据、安全参数、告警事件、接口状态、系统配置、用户权限、操作日志和备份记录。海图数据用于底图显示和空间分析；航线数据用于规划、检查、监控和ETA计算；动态目标数据用于态势融合、CPA/TCPA计算和碰撞预警；告警事件用于风险提示、确认处置和闭环归档；系统配置和权限数据用于运行控制和安全管理。</w:t>
      </w:r>
    </w:p>
    <w:p>
      <w:pPr>
        <w:spacing w:line="300" w:lineRule="auto"/>
        <w:ind w:firstLine="480"/>
      </w:pPr>
      <w:r>
        <w:rPr>
          <w:rFonts w:ascii="仿宋" w:hAnsi="仿宋" w:eastAsia="仿宋"/>
        </w:rPr>
        <w:t>数据之间的关系以航次、航线、时间、空间位置、数据来源和事件编号为关键关联条件。系统对关键数据建立来源标识、采集时间、处理时间、处理状态和版本信息，保证数据在导入、解析、计算、显示、存储、备份和归档全过程中可追溯。</w:t>
      </w:r>
    </w:p>
    <w:p w14: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仿宋" w:ascii="仿宋" w:hAnsi="仿宋"/>
          <w:bCs/>
          <w:szCs w:val="32"/>
          <w:lang w:val="en-US" w:eastAsia="zh-CN"/>
        </w:rPr>
        <w:t>数据库表设计</w:t>
      </w:r>
    </w:p>
    <w:p w14:paraId="700EC482">
      <w:pPr>
        <w:adjustRightInd w:val="0"/>
        <w:spacing w:line="360" w:lineRule="auto"/>
        <w:ind w:firstLine="480" w:firstLineChars="200"/>
        <w:rPr>
          <w:szCs w:val="28"/>
        </w:rPr>
      </w:pPr>
      <w:r>
        <w:rPr>
          <w:rFonts w:ascii="仿宋" w:hAnsi="仿宋" w:eastAsia="仿宋"/>
          <w:b w:val="0"/>
          <w:sz w:val="24"/>
        </w:rPr>
        <w:t>数据库表设计以可调整初稿方式给出，具体字段编码、长度、约束、索引和分区策略应在详细设计阶段结合甲方确认的数据字典、接口报文和部署环境进一步固化。</w:t>
      </w:r>
    </w:p>
    <w:tbl>
      <w:tblPr>
        <w:tblStyle w:val="26"/>
        <w:tblW w:type="auto" w:w="0"/>
        <w:tblLook w:firstColumn="1" w:firstRow="1" w:lastColumn="0" w:lastRow="0" w:noHBand="0" w:noVBand="1" w:val="04A0"/>
      </w:tblPr>
      <w:tblGrid>
        <w:gridCol w:w="2076"/>
        <w:gridCol w:w="2076"/>
        <w:gridCol w:w="2076"/>
        <w:gridCol w:w="2076"/>
      </w:tblGrid>
      <w:tr>
        <w:tc>
          <w:tcPr>
            <w:tcW w:type="dxa" w:w="2076"/>
          </w:tcPr>
          <w:p>
            <w:pPr>
              <w:spacing w:line="264" w:lineRule="auto"/>
            </w:pPr>
            <w:r>
              <w:rPr>
                <w:rFonts w:ascii="仿宋" w:hAnsi="仿宋" w:eastAsia="仿宋"/>
                <w:sz w:val="21"/>
              </w:rPr>
              <w:t>表名</w:t>
            </w:r>
          </w:p>
        </w:tc>
        <w:tc>
          <w:tcPr>
            <w:tcW w:type="dxa" w:w="2076"/>
          </w:tcPr>
          <w:p>
            <w:pPr>
              <w:spacing w:line="264" w:lineRule="auto"/>
            </w:pPr>
            <w:r>
              <w:rPr>
                <w:rFonts w:ascii="仿宋" w:hAnsi="仿宋" w:eastAsia="仿宋"/>
                <w:sz w:val="21"/>
              </w:rPr>
              <w:t>主要字段（初稿）</w:t>
            </w:r>
          </w:p>
        </w:tc>
        <w:tc>
          <w:tcPr>
            <w:tcW w:type="dxa" w:w="2076"/>
          </w:tcPr>
          <w:p>
            <w:pPr>
              <w:spacing w:line="264" w:lineRule="auto"/>
            </w:pPr>
            <w:r>
              <w:rPr>
                <w:rFonts w:ascii="仿宋" w:hAnsi="仿宋" w:eastAsia="仿宋"/>
                <w:sz w:val="21"/>
              </w:rPr>
              <w:t>用途</w:t>
            </w:r>
          </w:p>
        </w:tc>
        <w:tc>
          <w:tcPr>
            <w:tcW w:type="dxa" w:w="2076"/>
          </w:tcPr>
          <w:p>
            <w:pPr>
              <w:spacing w:line="264" w:lineRule="auto"/>
            </w:pPr>
            <w:r>
              <w:rPr>
                <w:rFonts w:ascii="仿宋" w:hAnsi="仿宋" w:eastAsia="仿宋"/>
                <w:sz w:val="21"/>
              </w:rPr>
              <w:t>设计说明</w:t>
            </w:r>
          </w:p>
        </w:tc>
      </w:tr>
      <w:tr>
        <w:tc>
          <w:tcPr>
            <w:tcW w:type="dxa" w:w="2076"/>
          </w:tcPr>
          <w:p>
            <w:pPr>
              <w:spacing w:line="264" w:lineRule="auto"/>
            </w:pPr>
            <w:r>
              <w:rPr>
                <w:rFonts w:ascii="仿宋" w:hAnsi="仿宋" w:eastAsia="仿宋"/>
                <w:sz w:val="21"/>
              </w:rPr>
              <w:t>chart_cell</w:t>
            </w:r>
          </w:p>
        </w:tc>
        <w:tc>
          <w:tcPr>
            <w:tcW w:type="dxa" w:w="2076"/>
          </w:tcPr>
          <w:p>
            <w:pPr>
              <w:spacing w:line="264" w:lineRule="auto"/>
            </w:pPr>
            <w:r>
              <w:rPr>
                <w:rFonts w:ascii="仿宋" w:hAnsi="仿宋" w:eastAsia="仿宋"/>
                <w:sz w:val="18"/>
              </w:rPr>
              <w:t>cell_id、edition、update_no、source_type、status</w:t>
            </w:r>
          </w:p>
        </w:tc>
        <w:tc>
          <w:tcPr>
            <w:tcW w:type="dxa" w:w="2076"/>
          </w:tcPr>
          <w:p>
            <w:pPr>
              <w:spacing w:line="264" w:lineRule="auto"/>
            </w:pPr>
            <w:r>
              <w:rPr>
                <w:rFonts w:ascii="仿宋" w:hAnsi="仿宋" w:eastAsia="仿宋"/>
                <w:sz w:val="21"/>
              </w:rPr>
              <w:t>海图单元与版本管理</w:t>
            </w:r>
          </w:p>
        </w:tc>
        <w:tc>
          <w:tcPr>
            <w:tcW w:type="dxa" w:w="2076"/>
          </w:tcPr>
          <w:p>
            <w:pPr>
              <w:spacing w:line="264" w:lineRule="auto"/>
            </w:pPr>
            <w:r>
              <w:rPr>
                <w:rFonts w:ascii="仿宋" w:hAnsi="仿宋" w:eastAsia="仿宋"/>
                <w:sz w:val="21"/>
              </w:rPr>
              <w:t>字段长度和编码按S-57/S-63解析结果确认</w:t>
            </w:r>
          </w:p>
        </w:tc>
      </w:tr>
      <w:tr>
        <w:tc>
          <w:tcPr>
            <w:tcW w:type="dxa" w:w="2076"/>
          </w:tcPr>
          <w:p>
            <w:pPr>
              <w:spacing w:line="264" w:lineRule="auto"/>
            </w:pPr>
            <w:r>
              <w:rPr>
                <w:rFonts w:ascii="仿宋" w:hAnsi="仿宋" w:eastAsia="仿宋"/>
                <w:sz w:val="21"/>
              </w:rPr>
              <w:t>senc_index</w:t>
            </w:r>
          </w:p>
        </w:tc>
        <w:tc>
          <w:tcPr>
            <w:tcW w:type="dxa" w:w="2076"/>
          </w:tcPr>
          <w:p>
            <w:pPr>
              <w:spacing w:line="264" w:lineRule="auto"/>
            </w:pPr>
            <w:r>
              <w:rPr>
                <w:rFonts w:ascii="仿宋" w:hAnsi="仿宋" w:eastAsia="仿宋"/>
                <w:sz w:val="18"/>
              </w:rPr>
              <w:t>senc_id、cell_id、build_time、checksum、storage_path</w:t>
            </w:r>
          </w:p>
        </w:tc>
        <w:tc>
          <w:tcPr>
            <w:tcW w:type="dxa" w:w="2076"/>
          </w:tcPr>
          <w:p>
            <w:pPr>
              <w:spacing w:line="264" w:lineRule="auto"/>
            </w:pPr>
            <w:r>
              <w:rPr>
                <w:rFonts w:ascii="仿宋" w:hAnsi="仿宋" w:eastAsia="仿宋"/>
                <w:sz w:val="21"/>
              </w:rPr>
              <w:t>SENC内部存储索引</w:t>
            </w:r>
          </w:p>
        </w:tc>
        <w:tc>
          <w:tcPr>
            <w:tcW w:type="dxa" w:w="2076"/>
          </w:tcPr>
          <w:p>
            <w:pPr>
              <w:spacing w:line="264" w:lineRule="auto"/>
            </w:pPr>
            <w:r>
              <w:rPr>
                <w:rFonts w:ascii="仿宋" w:hAnsi="仿宋" w:eastAsia="仿宋"/>
                <w:sz w:val="21"/>
              </w:rPr>
              <w:t>支持加载校验、更新追踪和备份恢复</w:t>
            </w:r>
          </w:p>
        </w:tc>
      </w:tr>
      <w:tr>
        <w:tc>
          <w:tcPr>
            <w:tcW w:type="dxa" w:w="2076"/>
          </w:tcPr>
          <w:p>
            <w:pPr>
              <w:spacing w:line="264" w:lineRule="auto"/>
            </w:pPr>
            <w:r>
              <w:rPr>
                <w:rFonts w:ascii="仿宋" w:hAnsi="仿宋" w:eastAsia="仿宋"/>
                <w:sz w:val="21"/>
              </w:rPr>
              <w:t>route_plan</w:t>
            </w:r>
          </w:p>
        </w:tc>
        <w:tc>
          <w:tcPr>
            <w:tcW w:type="dxa" w:w="2076"/>
          </w:tcPr>
          <w:p>
            <w:pPr>
              <w:spacing w:line="264" w:lineRule="auto"/>
            </w:pPr>
            <w:r>
              <w:rPr>
                <w:rFonts w:ascii="仿宋" w:hAnsi="仿宋" w:eastAsia="仿宋"/>
                <w:sz w:val="18"/>
              </w:rPr>
              <w:t>route_id、route_name、version、creator、status</w:t>
            </w:r>
          </w:p>
        </w:tc>
        <w:tc>
          <w:tcPr>
            <w:tcW w:type="dxa" w:w="2076"/>
          </w:tcPr>
          <w:p>
            <w:pPr>
              <w:spacing w:line="264" w:lineRule="auto"/>
            </w:pPr>
            <w:r>
              <w:rPr>
                <w:rFonts w:ascii="仿宋" w:hAnsi="仿宋" w:eastAsia="仿宋"/>
                <w:sz w:val="21"/>
              </w:rPr>
              <w:t>航线方案管理</w:t>
            </w:r>
          </w:p>
        </w:tc>
        <w:tc>
          <w:tcPr>
            <w:tcW w:type="dxa" w:w="2076"/>
          </w:tcPr>
          <w:p>
            <w:pPr>
              <w:spacing w:line="264" w:lineRule="auto"/>
            </w:pPr>
            <w:r>
              <w:rPr>
                <w:rFonts w:ascii="仿宋" w:hAnsi="仿宋" w:eastAsia="仿宋"/>
                <w:sz w:val="21"/>
              </w:rPr>
              <w:t>支持航线版本、启停状态和审计</w:t>
            </w:r>
          </w:p>
        </w:tc>
      </w:tr>
      <w:tr>
        <w:tc>
          <w:tcPr>
            <w:tcW w:type="dxa" w:w="2076"/>
          </w:tcPr>
          <w:p>
            <w:pPr>
              <w:spacing w:line="264" w:lineRule="auto"/>
            </w:pPr>
            <w:r>
              <w:rPr>
                <w:rFonts w:ascii="仿宋" w:hAnsi="仿宋" w:eastAsia="仿宋"/>
                <w:sz w:val="21"/>
              </w:rPr>
              <w:t>route_waypoint</w:t>
            </w:r>
          </w:p>
        </w:tc>
        <w:tc>
          <w:tcPr>
            <w:tcW w:type="dxa" w:w="2076"/>
          </w:tcPr>
          <w:p>
            <w:pPr>
              <w:spacing w:line="264" w:lineRule="auto"/>
            </w:pPr>
            <w:r>
              <w:rPr>
                <w:rFonts w:ascii="仿宋" w:hAnsi="仿宋" w:eastAsia="仿宋"/>
                <w:sz w:val="18"/>
              </w:rPr>
              <w:t>waypoint_id、route_id、seq、lat、lon、safety_param</w:t>
            </w:r>
          </w:p>
        </w:tc>
        <w:tc>
          <w:tcPr>
            <w:tcW w:type="dxa" w:w="2076"/>
          </w:tcPr>
          <w:p>
            <w:pPr>
              <w:spacing w:line="264" w:lineRule="auto"/>
            </w:pPr>
            <w:r>
              <w:rPr>
                <w:rFonts w:ascii="仿宋" w:hAnsi="仿宋" w:eastAsia="仿宋"/>
                <w:sz w:val="21"/>
              </w:rPr>
              <w:t>航点航段管理</w:t>
            </w:r>
          </w:p>
        </w:tc>
        <w:tc>
          <w:tcPr>
            <w:tcW w:type="dxa" w:w="2076"/>
          </w:tcPr>
          <w:p>
            <w:pPr>
              <w:spacing w:line="264" w:lineRule="auto"/>
            </w:pPr>
            <w:r>
              <w:rPr>
                <w:rFonts w:ascii="仿宋" w:hAnsi="仿宋" w:eastAsia="仿宋"/>
                <w:sz w:val="21"/>
              </w:rPr>
              <w:t>坐标精度和安全参数详细字段后续确认</w:t>
            </w:r>
          </w:p>
        </w:tc>
      </w:tr>
      <w:tr>
        <w:tc>
          <w:tcPr>
            <w:tcW w:type="dxa" w:w="2076"/>
          </w:tcPr>
          <w:p>
            <w:pPr>
              <w:spacing w:line="264" w:lineRule="auto"/>
            </w:pPr>
            <w:r>
              <w:rPr>
                <w:rFonts w:ascii="仿宋" w:hAnsi="仿宋" w:eastAsia="仿宋"/>
                <w:sz w:val="21"/>
              </w:rPr>
              <w:t>navigation_track</w:t>
            </w:r>
          </w:p>
        </w:tc>
        <w:tc>
          <w:tcPr>
            <w:tcW w:type="dxa" w:w="2076"/>
          </w:tcPr>
          <w:p>
            <w:pPr>
              <w:spacing w:line="264" w:lineRule="auto"/>
            </w:pPr>
            <w:r>
              <w:rPr>
                <w:rFonts w:ascii="仿宋" w:hAnsi="仿宋" w:eastAsia="仿宋"/>
                <w:sz w:val="18"/>
              </w:rPr>
              <w:t>track_id、time、lat、lon、speed、course、source</w:t>
            </w:r>
          </w:p>
        </w:tc>
        <w:tc>
          <w:tcPr>
            <w:tcW w:type="dxa" w:w="2076"/>
          </w:tcPr>
          <w:p>
            <w:pPr>
              <w:spacing w:line="264" w:lineRule="auto"/>
            </w:pPr>
            <w:r>
              <w:rPr>
                <w:rFonts w:ascii="仿宋" w:hAnsi="仿宋" w:eastAsia="仿宋"/>
                <w:sz w:val="21"/>
              </w:rPr>
              <w:t>航迹与船位记录</w:t>
            </w:r>
          </w:p>
        </w:tc>
        <w:tc>
          <w:tcPr>
            <w:tcW w:type="dxa" w:w="2076"/>
          </w:tcPr>
          <w:p>
            <w:pPr>
              <w:spacing w:line="264" w:lineRule="auto"/>
            </w:pPr>
            <w:r>
              <w:rPr>
                <w:rFonts w:ascii="仿宋" w:hAnsi="仿宋" w:eastAsia="仿宋"/>
                <w:sz w:val="21"/>
              </w:rPr>
              <w:t>按时间索引，支持航后分析和VDR备份</w:t>
            </w:r>
          </w:p>
        </w:tc>
      </w:tr>
      <w:tr>
        <w:tc>
          <w:tcPr>
            <w:tcW w:type="dxa" w:w="2076"/>
          </w:tcPr>
          <w:p>
            <w:pPr>
              <w:spacing w:line="264" w:lineRule="auto"/>
            </w:pPr>
            <w:r>
              <w:rPr>
                <w:rFonts w:ascii="仿宋" w:hAnsi="仿宋" w:eastAsia="仿宋"/>
                <w:sz w:val="21"/>
              </w:rPr>
              <w:t>target_state</w:t>
            </w:r>
          </w:p>
        </w:tc>
        <w:tc>
          <w:tcPr>
            <w:tcW w:type="dxa" w:w="2076"/>
          </w:tcPr>
          <w:p>
            <w:pPr>
              <w:spacing w:line="264" w:lineRule="auto"/>
            </w:pPr>
            <w:r>
              <w:rPr>
                <w:rFonts w:ascii="仿宋" w:hAnsi="仿宋" w:eastAsia="仿宋"/>
                <w:sz w:val="18"/>
              </w:rPr>
              <w:t>target_id、target_type、mmsi、lat、lon、speed、course</w:t>
            </w:r>
          </w:p>
        </w:tc>
        <w:tc>
          <w:tcPr>
            <w:tcW w:type="dxa" w:w="2076"/>
          </w:tcPr>
          <w:p>
            <w:pPr>
              <w:spacing w:line="264" w:lineRule="auto"/>
            </w:pPr>
            <w:r>
              <w:rPr>
                <w:rFonts w:ascii="仿宋" w:hAnsi="仿宋" w:eastAsia="仿宋"/>
                <w:sz w:val="21"/>
              </w:rPr>
              <w:t>AIS/雷达/ARPA目标状态</w:t>
            </w:r>
          </w:p>
        </w:tc>
        <w:tc>
          <w:tcPr>
            <w:tcW w:type="dxa" w:w="2076"/>
          </w:tcPr>
          <w:p>
            <w:pPr>
              <w:spacing w:line="264" w:lineRule="auto"/>
            </w:pPr>
            <w:r>
              <w:rPr>
                <w:rFonts w:ascii="仿宋" w:hAnsi="仿宋" w:eastAsia="仿宋"/>
                <w:sz w:val="21"/>
              </w:rPr>
              <w:t>目标融合规则在详细设计阶段细化</w:t>
            </w:r>
          </w:p>
        </w:tc>
      </w:tr>
      <w:tr>
        <w:tc>
          <w:tcPr>
            <w:tcW w:type="dxa" w:w="2076"/>
          </w:tcPr>
          <w:p>
            <w:pPr>
              <w:spacing w:line="264" w:lineRule="auto"/>
            </w:pPr>
            <w:r>
              <w:rPr>
                <w:rFonts w:ascii="仿宋" w:hAnsi="仿宋" w:eastAsia="仿宋"/>
                <w:sz w:val="21"/>
              </w:rPr>
              <w:t>alarm_event</w:t>
            </w:r>
          </w:p>
        </w:tc>
        <w:tc>
          <w:tcPr>
            <w:tcW w:type="dxa" w:w="2076"/>
          </w:tcPr>
          <w:p>
            <w:pPr>
              <w:spacing w:line="264" w:lineRule="auto"/>
            </w:pPr>
            <w:r>
              <w:rPr>
                <w:rFonts w:ascii="仿宋" w:hAnsi="仿宋" w:eastAsia="仿宋"/>
                <w:sz w:val="18"/>
              </w:rPr>
              <w:t>alarm_id、alarm_type、level、object_id、time、status</w:t>
            </w:r>
          </w:p>
        </w:tc>
        <w:tc>
          <w:tcPr>
            <w:tcW w:type="dxa" w:w="2076"/>
          </w:tcPr>
          <w:p>
            <w:pPr>
              <w:spacing w:line="264" w:lineRule="auto"/>
            </w:pPr>
            <w:r>
              <w:rPr>
                <w:rFonts w:ascii="仿宋" w:hAnsi="仿宋" w:eastAsia="仿宋"/>
                <w:sz w:val="21"/>
              </w:rPr>
              <w:t>告警事件与确认记录</w:t>
            </w:r>
          </w:p>
        </w:tc>
        <w:tc>
          <w:tcPr>
            <w:tcW w:type="dxa" w:w="2076"/>
          </w:tcPr>
          <w:p>
            <w:pPr>
              <w:spacing w:line="264" w:lineRule="auto"/>
            </w:pPr>
            <w:r>
              <w:rPr>
                <w:rFonts w:ascii="仿宋" w:hAnsi="仿宋" w:eastAsia="仿宋"/>
                <w:sz w:val="21"/>
              </w:rPr>
              <w:t>支持优先级、确认、消除和归档</w:t>
            </w:r>
          </w:p>
        </w:tc>
      </w:tr>
      <w:tr>
        <w:tc>
          <w:tcPr>
            <w:tcW w:type="dxa" w:w="2076"/>
          </w:tcPr>
          <w:p>
            <w:pPr>
              <w:spacing w:line="264" w:lineRule="auto"/>
            </w:pPr>
            <w:r>
              <w:rPr>
                <w:rFonts w:ascii="仿宋" w:hAnsi="仿宋" w:eastAsia="仿宋"/>
                <w:sz w:val="21"/>
              </w:rPr>
              <w:t>interface_log</w:t>
            </w:r>
          </w:p>
        </w:tc>
        <w:tc>
          <w:tcPr>
            <w:tcW w:type="dxa" w:w="2076"/>
          </w:tcPr>
          <w:p>
            <w:pPr>
              <w:spacing w:line="264" w:lineRule="auto"/>
            </w:pPr>
            <w:r>
              <w:rPr>
                <w:rFonts w:ascii="仿宋" w:hAnsi="仿宋" w:eastAsia="仿宋"/>
                <w:sz w:val="18"/>
              </w:rPr>
              <w:t>log_id、device_type、protocol、status、time、message</w:t>
            </w:r>
          </w:p>
        </w:tc>
        <w:tc>
          <w:tcPr>
            <w:tcW w:type="dxa" w:w="2076"/>
          </w:tcPr>
          <w:p>
            <w:pPr>
              <w:spacing w:line="264" w:lineRule="auto"/>
            </w:pPr>
            <w:r>
              <w:rPr>
                <w:rFonts w:ascii="仿宋" w:hAnsi="仿宋" w:eastAsia="仿宋"/>
                <w:sz w:val="21"/>
              </w:rPr>
              <w:t>接口通信与异常记录</w:t>
            </w:r>
          </w:p>
        </w:tc>
        <w:tc>
          <w:tcPr>
            <w:tcW w:type="dxa" w:w="2076"/>
          </w:tcPr>
          <w:p>
            <w:pPr>
              <w:spacing w:line="264" w:lineRule="auto"/>
            </w:pPr>
            <w:r>
              <w:rPr>
                <w:rFonts w:ascii="仿宋" w:hAnsi="仿宋" w:eastAsia="仿宋"/>
                <w:sz w:val="21"/>
              </w:rPr>
              <w:t>用于自动重连、故障定位和验收取证</w:t>
            </w:r>
          </w:p>
        </w:tc>
      </w:tr>
      <w:tr>
        <w:tc>
          <w:tcPr>
            <w:tcW w:type="dxa" w:w="2076"/>
          </w:tcPr>
          <w:p>
            <w:pPr>
              <w:spacing w:line="264" w:lineRule="auto"/>
            </w:pPr>
            <w:r>
              <w:rPr>
                <w:rFonts w:ascii="仿宋" w:hAnsi="仿宋" w:eastAsia="仿宋"/>
                <w:sz w:val="21"/>
              </w:rPr>
              <w:t>user_role</w:t>
            </w:r>
          </w:p>
        </w:tc>
        <w:tc>
          <w:tcPr>
            <w:tcW w:type="dxa" w:w="2076"/>
          </w:tcPr>
          <w:p>
            <w:pPr>
              <w:spacing w:line="264" w:lineRule="auto"/>
            </w:pPr>
            <w:r>
              <w:rPr>
                <w:rFonts w:ascii="仿宋" w:hAnsi="仿宋" w:eastAsia="仿宋"/>
                <w:sz w:val="18"/>
              </w:rPr>
              <w:t>user_id、role_id、permission_set、status</w:t>
            </w:r>
          </w:p>
        </w:tc>
        <w:tc>
          <w:tcPr>
            <w:tcW w:type="dxa" w:w="2076"/>
          </w:tcPr>
          <w:p>
            <w:pPr>
              <w:spacing w:line="264" w:lineRule="auto"/>
            </w:pPr>
            <w:r>
              <w:rPr>
                <w:rFonts w:ascii="仿宋" w:hAnsi="仿宋" w:eastAsia="仿宋"/>
                <w:sz w:val="21"/>
              </w:rPr>
              <w:t>用户权限管理</w:t>
            </w:r>
          </w:p>
        </w:tc>
        <w:tc>
          <w:tcPr>
            <w:tcW w:type="dxa" w:w="2076"/>
          </w:tcPr>
          <w:p>
            <w:pPr>
              <w:spacing w:line="264" w:lineRule="auto"/>
            </w:pPr>
            <w:r>
              <w:rPr>
                <w:rFonts w:ascii="仿宋" w:hAnsi="仿宋" w:eastAsia="仿宋"/>
                <w:sz w:val="21"/>
              </w:rPr>
              <w:t>实际用户信息由投标人和甲方确认后配置</w:t>
            </w:r>
          </w:p>
        </w:tc>
      </w:tr>
      <w:tr>
        <w:tc>
          <w:tcPr>
            <w:tcW w:type="dxa" w:w="2076"/>
          </w:tcPr>
          <w:p>
            <w:pPr>
              <w:spacing w:line="264" w:lineRule="auto"/>
            </w:pPr>
            <w:r>
              <w:rPr>
                <w:rFonts w:ascii="仿宋" w:hAnsi="仿宋" w:eastAsia="仿宋"/>
                <w:sz w:val="21"/>
              </w:rPr>
              <w:t>operation_audit</w:t>
            </w:r>
          </w:p>
        </w:tc>
        <w:tc>
          <w:tcPr>
            <w:tcW w:type="dxa" w:w="2076"/>
          </w:tcPr>
          <w:p>
            <w:pPr>
              <w:spacing w:line="264" w:lineRule="auto"/>
            </w:pPr>
            <w:r>
              <w:rPr>
                <w:rFonts w:ascii="仿宋" w:hAnsi="仿宋" w:eastAsia="仿宋"/>
                <w:sz w:val="18"/>
              </w:rPr>
              <w:t>audit_id、user_id、action、object、result、time</w:t>
            </w:r>
          </w:p>
        </w:tc>
        <w:tc>
          <w:tcPr>
            <w:tcW w:type="dxa" w:w="2076"/>
          </w:tcPr>
          <w:p>
            <w:pPr>
              <w:spacing w:line="264" w:lineRule="auto"/>
            </w:pPr>
            <w:r>
              <w:rPr>
                <w:rFonts w:ascii="仿宋" w:hAnsi="仿宋" w:eastAsia="仿宋"/>
                <w:sz w:val="21"/>
              </w:rPr>
              <w:t>关键操作审计</w:t>
            </w:r>
          </w:p>
        </w:tc>
        <w:tc>
          <w:tcPr>
            <w:tcW w:type="dxa" w:w="2076"/>
          </w:tcPr>
          <w:p>
            <w:pPr>
              <w:spacing w:line="264" w:lineRule="auto"/>
            </w:pPr>
            <w:r>
              <w:rPr>
                <w:rFonts w:ascii="仿宋" w:hAnsi="仿宋" w:eastAsia="仿宋"/>
                <w:sz w:val="21"/>
              </w:rPr>
              <w:t>支持安全审计和质量监督</w:t>
            </w:r>
          </w:p>
        </w:tc>
      </w:tr>
    </w:tbl>
    <w:p w14: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11462"/>
      <w:bookmarkStart w:id="19" w:name="_Toc9876"/>
      <w:r>
        <w:rPr>
          <w:rFonts w:hint="eastAsia" w:ascii="黑体" w:hAnsi="黑体" w:eastAsia="黑体" w:cs="黑体"/>
          <w:sz w:val="28"/>
          <w:szCs w:val="32"/>
          <w:lang w:val="en-US" w:eastAsia="zh-CN"/>
        </w:rPr>
        <w:t>通用质量特性设计</w:t>
      </w:r>
      <w:bookmarkEnd w:id="17"/>
    </w:p>
    <w:p w14: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仿宋" w:ascii="仿宋" w:hAnsi="仿宋"/>
          <w:b w:val="0"/>
          <w:bCs/>
          <w:sz w:val="24"/>
          <w:szCs w:val="32"/>
          <w:lang w:val="en-US" w:eastAsia="zh-CN"/>
        </w:rPr>
        <w:t>通用质量特性设计围绕可靠性、维修性、保障性、测试性、安全性和环境适应性展开，既响应技术要求中的明确指标，也支撑技术评分表对安全设计、质量控制、风险控制和关键技术可行性的评审要求。系统在设计阶段将质量特性分解到架构、模块、接口、数据、测试和运维全过程，避免将质量要求停留在口号层面。</w:t>
      </w:r>
      <w:bookmarkEnd w:id="20"/>
    </w:p>
    <w:p w14:paraId="04A236C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仿宋" w:ascii="仿宋" w:hAnsi="仿宋"/>
          <w:bCs/>
          <w:szCs w:val="32"/>
          <w:lang w:val="en-US" w:eastAsia="zh-CN"/>
        </w:rPr>
        <w:t>维修性设计</w:t>
      </w:r>
      <w:bookmarkEnd w:id="21"/>
    </w:p>
    <w:p w14:paraId="3A90ED45">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r>
        <w:rPr>
          <w:rFonts w:ascii="仿宋" w:hAnsi="仿宋" w:eastAsia="仿宋"/>
          <w:b w:val="0"/>
          <w:sz w:val="24"/>
        </w:rPr>
        <w:t>系统按照模块化原则划分数据接入、海图显示、态势融合、航线规划、告警管理、系统配置、数据维护和运维监控等模块。模块之间通过清晰、稳定的接口传递数据和状态，便于故障定位、局部替换和版本升级。系统运行日志记录接口状态、异常堆栈、告警规则命中、配置变更和用户操作，为维护人员快速判断故障来源提供依据，并围绕MTTR≤0.5小时的要求设计常见故障处置流程和检查清单。</w:t>
      </w:r>
    </w:p>
    <w:p w14: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仿宋" w:ascii="仿宋" w:hAnsi="仿宋"/>
          <w:bCs/>
          <w:szCs w:val="32"/>
          <w:lang w:val="en-US" w:eastAsia="zh-CN"/>
        </w:rPr>
        <w:t>保障性设计</w:t>
      </w:r>
      <w:bookmarkEnd w:id="22"/>
    </w:p>
    <w:p w14:paraId="6A97AA91">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ascii="仿宋" w:hAnsi="仿宋" w:eastAsia="仿宋"/>
          <w:b w:val="0"/>
          <w:sz w:val="24"/>
        </w:rPr>
        <w:t>保障性设计覆盖软件交付、文档交付、联试配合、使用维护、变更记录和知识转移。系统随主机设备移交时同步提供用户使用手册、部署运维指南和按GJB438C-2021形成的技术文档，保证使用方具备安装、配置、操作、故障排查和日常维护依据。软件变更过程记录变更原因、影响范围、版本号、测试结果和交付状态，保持文档与代码可追溯、一致。</w:t>
      </w:r>
    </w:p>
    <w:p w14: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仿宋" w:ascii="仿宋" w:hAnsi="仿宋"/>
          <w:bCs/>
          <w:szCs w:val="32"/>
          <w:lang w:val="en-US" w:eastAsia="zh-CN"/>
        </w:rPr>
        <w:t>测试性设计</w:t>
      </w:r>
      <w:bookmarkEnd w:id="23"/>
    </w:p>
    <w:p w14:paraId="6F03977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ascii="仿宋" w:hAnsi="仿宋" w:eastAsia="仿宋"/>
          <w:b w:val="0"/>
          <w:sz w:val="24"/>
        </w:rPr>
        <w:t>系统在模块设计中预留测试接口和测试数据构造机制，支持对协议解析、海图加载、坐标转换、航线安全检查、告警规则、权限控制、数据备份和接口重连等能力开展单元测试、集成测试、系统测试和验收测试。测试过程形成测试计划、测试用例、测试记录、缺陷闭环和测试报告，覆盖正常路径、异常路径、边界值、并发刷新、接口中断、海图更新失败和权限不足等典型场景。</w:t>
      </w:r>
    </w:p>
    <w:p w14: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仿宋" w:ascii="仿宋" w:hAnsi="仿宋"/>
          <w:bCs/>
          <w:szCs w:val="32"/>
          <w:lang w:val="en-US" w:eastAsia="zh-CN"/>
        </w:rPr>
        <w:t>安全性设计</w:t>
      </w:r>
      <w:bookmarkEnd w:id="24"/>
    </w:p>
    <w:p w14:paraId="37CCEE74">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ascii="仿宋" w:hAnsi="仿宋" w:eastAsia="仿宋"/>
          <w:b w:val="0"/>
          <w:sz w:val="24"/>
        </w:rPr>
        <w:t>系统安全性设计从部署环境、访问控制、数据安全、操作安全、接口安全和测试安全六个方面落实。部署环境满足全军统一国产化要求并支持按军用计算机网络安全防护标准配置；访问控制按照岗位业务设计角色和权限，防止越权配置、越权删除和越权查看；重要操作实施二次确认并记录审计日志；接口数据进行协议校验、来源校验和异常记录；上线前开展整体安全性测试并形成安全测试报告；正式运行系统和数据库禁止进行测试操作。</w:t>
      </w:r>
    </w:p>
    <w:p w14: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仿宋" w:ascii="仿宋" w:hAnsi="仿宋"/>
          <w:bCs/>
          <w:szCs w:val="32"/>
          <w:lang w:val="en-US" w:eastAsia="zh-CN"/>
        </w:rPr>
        <w:t>环境适应性设计</w:t>
      </w:r>
    </w:p>
    <w:bookmarkEnd w:id="18"/>
    <w:bookmarkEnd w:id="19"/>
    <w:p w14:paraId="1BD0FB6E">
      <w:pPr>
        <w:spacing w:line="360" w:lineRule="auto"/>
        <w:ind w:firstLine="480" w:firstLineChars="200"/>
      </w:pPr>
      <w:r>
        <w:rPr>
          <w:rFonts w:ascii="仿宋" w:hAnsi="仿宋" w:eastAsia="仿宋"/>
          <w:b w:val="0"/>
          <w:sz w:val="24"/>
        </w:rPr>
        <w:t>系统面向龙芯、飞腾、瑞芯微等硬件平台和麒麟、Ubuntu等操作系统进行跨平台适配设计。软件采用C++语言和分层模块化结构，图形渲染、协议解析、文件路径、系统服务、配置加载和日志输出等平台相关能力通过适配层封装，降低不同架构与系统差异对业务模块的影响。测试阶段应在甲方提供或确认的目标环境中开展安装、运行、性能、稳定性和接口联调验证。</w:t>
      </w:r>
    </w:p>
    <w:p w14: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14:paraId="44BFF087">
      <w:pPr>
        <w:widowControl/>
        <w:spacing w:line="360" w:lineRule="auto"/>
        <w:ind w:firstLine="480" w:firstLineChars="200"/>
        <w:jc w:val="left"/>
        <w:textAlignment w:val="center"/>
        <w:rPr>
          <w:rFonts w:hint="eastAsia"/>
          <w:szCs w:val="18"/>
        </w:rPr>
      </w:pPr>
      <w:r>
        <w:rPr>
          <w:rFonts w:ascii="仿宋" w:hAnsi="仿宋" w:eastAsia="仿宋"/>
          <w:b w:val="0"/>
          <w:sz w:val="24"/>
        </w:rPr>
        <w:t>一是标准电子海图解析与SENC构建技术。系统围绕S-57、S-63、S-52和PresLib要求处理海图数据、显示规则、数据保护和符号化表达，形成可快速加载和查询的内部存储结构，并对海图更新过程保留记录。</w:t>
      </w:r>
    </w:p>
    <w:p>
      <w:pPr>
        <w:spacing w:line="300" w:lineRule="auto"/>
        <w:ind w:firstLine="480"/>
      </w:pPr>
      <w:r>
        <w:rPr>
          <w:rFonts w:ascii="仿宋" w:hAnsi="仿宋" w:eastAsia="仿宋"/>
        </w:rPr>
        <w:t>二是OpenGL态势融合渲染技术。系统将电子海图、雷达回波、AIS目标、ARPA目标、自定义GIS要素、气象海况和安全告警叠加到统一空间坐标体系下，通过分层渲染、增量刷新和显示优先级控制保证态势表达清晰。</w:t>
      </w:r>
    </w:p>
    <w:p>
      <w:pPr>
        <w:spacing w:line="300" w:lineRule="auto"/>
        <w:ind w:firstLine="480"/>
      </w:pPr>
      <w:r>
        <w:rPr>
          <w:rFonts w:ascii="仿宋" w:hAnsi="仿宋" w:eastAsia="仿宋"/>
        </w:rPr>
        <w:t>三是航线安全检查与动态风险预测技术。系统结合吃水、安全等深线、禁航区、限航区、危险物、偏航阈值、AIS/雷达目标和CPA/TCPA规则进行安全检查和风险预警，实现规划阶段和航行阶段的连续安全控制。</w:t>
      </w:r>
    </w:p>
    <w:p>
      <w:pPr>
        <w:spacing w:line="300" w:lineRule="auto"/>
        <w:ind w:firstLine="480"/>
      </w:pPr>
      <w:r>
        <w:rPr>
          <w:rFonts w:ascii="仿宋" w:hAnsi="仿宋" w:eastAsia="仿宋"/>
        </w:rPr>
        <w:t>四是标准接口接入与异常恢复技术。系统按照NMEA0183/2000等协议接入船载设备，结合数据校验、时间戳比对、状态监测、缓存队列和自动重连机制保证动态数据稳定输入。</w:t>
      </w:r>
    </w:p>
    <w:p>
      <w:pPr>
        <w:spacing w:line="300" w:lineRule="auto"/>
        <w:ind w:firstLine="480"/>
      </w:pPr>
      <w:r>
        <w:rPr>
          <w:rFonts w:ascii="仿宋" w:hAnsi="仿宋" w:eastAsia="仿宋"/>
        </w:rPr>
        <w:t>五是跨平台国产化适配技术。系统采用C++和分层模块化设计，通过平台适配层隔离不同CPU架构、操作系统、图形环境和文件系统差异，支撑龙芯、飞腾、瑞芯微及麒麟、Ubuntu环境部署。</w:t>
      </w:r>
    </w:p>
    <w:p>
      <w:pPr>
        <w:spacing w:line="300" w:lineRule="auto"/>
        <w:ind w:firstLine="480"/>
      </w:pPr>
      <w:r>
        <w:rPr>
          <w:rFonts w:ascii="仿宋" w:hAnsi="仿宋" w:eastAsia="仿宋"/>
        </w:rPr>
        <w:t>六是全过程质量追溯技术。系统对需求、设计、开发、测试、部署、运行、告警、变更、备份和交付形成记录，使软件代码、技术文档、测试结果和运行日志保持可追溯、一致。</w:t>
      </w:r>
    </w:p>
    <w:p w14: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Calibri"/>
          <w:bCs/>
          <w:kern w:val="44"/>
          <w:sz w:val="30"/>
          <w:szCs w:val="44"/>
          <w:lang w:val="en-US" w:eastAsia="zh-CN"/>
        </w:rPr>
        <w:t>质量控制</w:t>
      </w:r>
      <w:bookmarkEnd w:id="26"/>
      <w:bookmarkEnd w:id="27"/>
    </w:p>
    <w:p w14: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仿宋" w:hAnsi="仿宋" w:eastAsia="仿宋" w:cs="黑体"/>
          <w:b w:val="0"/>
          <w:sz w:val="24"/>
          <w:szCs w:val="32"/>
          <w:lang w:val="en-US" w:eastAsia="zh-CN"/>
        </w:rPr>
        <w:t>质量控制覆盖需求分析、方案设计、详细设计、开发编码、集成联调、系统测试、交付验收和售后运维全过程。需求阶段建立需求响应矩阵，逐项映射技术要求、商务要求和评分项；设计阶段对架构、功能、接口、数据、安全和部署方案进行评审；开发阶段执行编码规范、版本管理和单元测试；联调阶段重点验证海图加载、传感器接入、目标融合、航线检查、告警闭环和数据备份；测试阶段形成测试计划、测试用例、缺陷记录和测试报告；交付阶段按验收大纲和交付物清单提交软件、文档和运行证明材料。</w:t>
      </w:r>
      <w:bookmarkEnd w:id="28"/>
    </w:p>
    <w:p>
      <w:pPr>
        <w:spacing w:line="300" w:lineRule="auto"/>
        <w:ind w:firstLine="480"/>
      </w:pPr>
      <w:r>
        <w:rPr>
          <w:rFonts w:ascii="仿宋" w:hAnsi="仿宋" w:eastAsia="仿宋"/>
        </w:rPr>
        <w:t>项目接受甲方质量体系及客户代表机构监督评价，按要求提供过程数据、记录、文件和现场支持。对发现的问题建立纠正措施闭环，明确责任、原因、整改措施、验证方式和关闭条件。涉及产品检测评价标准、缺陷判据和抽样方法等事项，应配合甲方按验收大纲和合同要求执行。</w:t>
      </w:r>
    </w:p>
    <w:p w14:paraId="6144050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26513"/>
      <w:bookmarkStart w:id="30" w:name="_Toc19435"/>
      <w:r>
        <w:rPr>
          <w:rFonts w:hint="eastAsia" w:ascii="黑体" w:hAnsi="黑体" w:eastAsia="黑体" w:cs="黑体"/>
          <w:sz w:val="28"/>
          <w:szCs w:val="32"/>
          <w:lang w:val="en-US" w:eastAsia="zh-CN"/>
        </w:rPr>
        <w:t>质量保证措施</w:t>
      </w:r>
      <w:bookmarkEnd w:id="29"/>
      <w:bookmarkEnd w:id="30"/>
    </w:p>
    <w:p w14:paraId="56A216E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仿宋" w:hAnsi="仿宋" w:eastAsia="仿宋" w:cs="Times New Roman"/>
          <w:b w:val="0"/>
          <w:kern w:val="2"/>
          <w:sz w:val="24"/>
          <w:szCs w:val="24"/>
          <w:lang w:val="en-US" w:eastAsia="zh-CN" w:bidi="ar-SA"/>
          <w14:ligatures w14:val="standardContextual"/>
        </w:rPr>
        <w:t>质量保证措施包括组织保障、过程保障、技术保障、测试保障和交付保障。组织方面建立项目负责人、需求分析、架构设计、软件开发、测试验证、配置管理、质量控制和运维支持等角色分工，具体人员、职称、证书和工作年限由投标人真实材料确认后填报。过程方面按照需求确认、设计评审、编码实现、联调测试、验收交付和售后服务进行阶段控制，每一阶段形成记录并接受甲方监督。</w:t>
      </w:r>
    </w:p>
    <w:p>
      <w:pPr>
        <w:spacing w:line="300" w:lineRule="auto"/>
        <w:ind w:firstLine="480"/>
      </w:pPr>
      <w:r>
        <w:rPr>
          <w:rFonts w:ascii="仿宋" w:hAnsi="仿宋" w:eastAsia="仿宋"/>
        </w:rPr>
        <w:t>技术方面，系统围绕标准符合性、海图数据准确性、接口稳定性、告警及时性、权限安全性和跨平台适配性设置设计准则和检查项。测试方面，建立单元测试、集成测试、系统测试、性能测试、安全测试、环境适配测试和验收测试，覆盖正常、异常、边界和恢复场景。交付方面，按要求提交软件源代码、可执行文件、部署运维指南、GJB438C-2021技术文档和用户使用资料，保证交付物完整、版本一致、可安装、可运行、可验证。</w:t>
      </w:r>
    </w:p>
    <w:p w14:paraId="4466AA2A">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仿宋" w:ascii="仿宋" w:hAnsi="仿宋"/>
          <w:b w:val="0"/>
          <w:bCs/>
          <w:sz w:val="24"/>
          <w:szCs w:val="32"/>
          <w:lang w:val="en-US" w:eastAsia="zh-CN"/>
        </w:rPr>
        <w:t>投标文件应结合投标人真实质量管理体系、资质证书、软件研发过程管理制度和相关证明材料进行响应。本初稿仅提示应覆盖质量体系、质量计划、质量监督配合、缺陷闭环和交付质量控制等内容，具体证书名称、编号、有效期和证明材料需人工复核后补充。</w:t>
      </w:r>
    </w:p>
    <w:p w14:paraId="0353714B">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仿宋" w:hAnsi="仿宋" w:eastAsia="仿宋" w:cs="Times New Roman"/>
          <w:b w:val="0"/>
          <w:kern w:val="2"/>
          <w:sz w:val="24"/>
          <w:szCs w:val="24"/>
          <w:lang w:val="en-US" w:eastAsia="zh-CN" w:bidi="ar-SA"/>
          <w14:ligatures w14:val="standardContextual"/>
        </w:rPr>
        <w:t>服务质量保障应覆盖7×24小时服务、远程指导、现地排故、驻场调试、问题处理报告、服务记录和闭环管理等商务要求。具体服务团队、联系人、响应时限承诺和驻场安排需与投标人实际服务能力及合同条款复核一致。</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w14: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w14: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序号</w:t>
            </w:r>
          </w:p>
        </w:tc>
        <w:tc>
          <w:tcPr>
            <w:tcW w:w="3379" w:type="dxa"/>
            <w:noWrap w:val="0"/>
            <w:vAlign w:val="center"/>
          </w:tcPr>
          <w:p w14: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名称</w:t>
            </w:r>
          </w:p>
        </w:tc>
        <w:tc>
          <w:tcPr>
            <w:tcW w:w="833" w:type="dxa"/>
            <w:noWrap w:val="0"/>
            <w:vAlign w:val="center"/>
          </w:tcPr>
          <w:p w14: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数量</w:t>
            </w:r>
          </w:p>
        </w:tc>
        <w:tc>
          <w:tcPr>
            <w:tcW w:w="970" w:type="dxa"/>
            <w:noWrap w:val="0"/>
            <w:vAlign w:val="center"/>
          </w:tcPr>
          <w:p w14: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单位</w:t>
            </w:r>
          </w:p>
        </w:tc>
        <w:tc>
          <w:tcPr>
            <w:tcW w:w="2470" w:type="dxa"/>
            <w:noWrap w:val="0"/>
            <w:vAlign w:val="center"/>
          </w:tcPr>
          <w:p w14: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成果形式</w:t>
            </w:r>
          </w:p>
        </w:tc>
      </w:tr>
      <w:tr w14: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软件开发计划</w:t>
            </w:r>
          </w:p>
        </w:tc>
        <w:tc>
          <w:tcPr>
            <w:tcW w:w="833" w:type="dxa"/>
            <w:noWrap w:val="0"/>
            <w:vAlign w:val="center"/>
          </w:tcPr>
          <w:p w14: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软件配置管理计划</w:t>
            </w:r>
          </w:p>
        </w:tc>
        <w:tc>
          <w:tcPr>
            <w:tcW w:w="833" w:type="dxa"/>
            <w:noWrap w:val="0"/>
            <w:vAlign w:val="center"/>
          </w:tcPr>
          <w:p w14: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软件质量保证计划</w:t>
            </w:r>
          </w:p>
        </w:tc>
        <w:tc>
          <w:tcPr>
            <w:tcW w:w="833" w:type="dxa"/>
            <w:noWrap w:val="0"/>
            <w:vAlign w:val="center"/>
          </w:tcPr>
          <w:p w14: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需求规格说明</w:t>
            </w:r>
          </w:p>
        </w:tc>
        <w:tc>
          <w:tcPr>
            <w:tcW w:w="833" w:type="dxa"/>
            <w:noWrap w:val="0"/>
            <w:vAlign w:val="center"/>
          </w:tcPr>
          <w:p w14: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功能设计说明</w:t>
            </w:r>
          </w:p>
        </w:tc>
        <w:tc>
          <w:tcPr>
            <w:tcW w:w="833" w:type="dxa"/>
            <w:noWrap w:val="0"/>
            <w:vAlign w:val="center"/>
          </w:tcPr>
          <w:p w14: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测试总结</w:t>
            </w:r>
          </w:p>
        </w:tc>
        <w:tc>
          <w:tcPr>
            <w:tcW w:w="833" w:type="dxa"/>
            <w:noWrap w:val="0"/>
            <w:vAlign w:val="center"/>
          </w:tcPr>
          <w:p w14: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用户手册</w:t>
            </w:r>
          </w:p>
        </w:tc>
        <w:tc>
          <w:tcPr>
            <w:tcW w:w="833" w:type="dxa"/>
            <w:noWrap w:val="0"/>
            <w:vAlign w:val="center"/>
          </w:tcPr>
          <w:p w14: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配置管理总结</w:t>
            </w:r>
          </w:p>
        </w:tc>
        <w:tc>
          <w:tcPr>
            <w:tcW w:w="833" w:type="dxa"/>
            <w:noWrap w:val="0"/>
            <w:vAlign w:val="center"/>
          </w:tcPr>
          <w:p w14: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项目研制总结报告</w:t>
            </w:r>
          </w:p>
        </w:tc>
        <w:tc>
          <w:tcPr>
            <w:tcW w:w="833" w:type="dxa"/>
            <w:noWrap w:val="0"/>
            <w:vAlign w:val="center"/>
          </w:tcPr>
          <w:p w14: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项目管理过程文档</w:t>
            </w:r>
          </w:p>
        </w:tc>
        <w:tc>
          <w:tcPr>
            <w:tcW w:w="833" w:type="dxa"/>
            <w:noWrap w:val="0"/>
            <w:vAlign w:val="center"/>
          </w:tcPr>
          <w:p w14: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自主可控评估大纲</w:t>
            </w:r>
          </w:p>
        </w:tc>
        <w:tc>
          <w:tcPr>
            <w:tcW w:w="833" w:type="dxa"/>
            <w:noWrap w:val="0"/>
            <w:vAlign w:val="center"/>
          </w:tcPr>
          <w:p w14: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自主可控评估报告</w:t>
            </w:r>
          </w:p>
        </w:tc>
        <w:tc>
          <w:tcPr>
            <w:tcW w:w="833" w:type="dxa"/>
            <w:noWrap w:val="0"/>
            <w:vAlign w:val="center"/>
          </w:tcPr>
          <w:p w14: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合同及经费穿透监管配套材料</w:t>
            </w:r>
          </w:p>
        </w:tc>
        <w:tc>
          <w:tcPr>
            <w:tcW w:w="833" w:type="dxa"/>
            <w:noWrap w:val="0"/>
            <w:vAlign w:val="center"/>
          </w:tcPr>
          <w:p w14: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w:t>
            </w:r>
          </w:p>
        </w:tc>
        <w:tc>
          <w:tcPr>
            <w:tcW w:w="833" w:type="dxa"/>
            <w:noWrap w:val="0"/>
            <w:vAlign w:val="center"/>
          </w:tcPr>
          <w:p w14: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可执行程序及源代码</w:t>
            </w:r>
          </w:p>
        </w:tc>
      </w:tr>
    </w:tbl>
    <w:p w14: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2" w:name="_Ref3150"/>
      <w:bookmarkStart w:id="33" w:name="_Toc18355"/>
      <w:bookmarkStart w:id="34" w:name="_Toc24827"/>
      <w:r>
        <w:rPr>
          <w:rFonts w:hint="eastAsia" w:ascii="黑体" w:hAnsi="黑体" w:eastAsia="黑体" w:cs="黑体"/>
          <w:sz w:val="28"/>
          <w:szCs w:val="32"/>
          <w:lang w:val="en-US" w:eastAsia="zh-CN"/>
        </w:rPr>
        <w:t>项目进度计划</w:t>
      </w:r>
      <w:bookmarkEnd w:id="32"/>
      <w:bookmarkEnd w:id="33"/>
      <w:bookmarkEnd w:id="34"/>
    </w:p>
    <w:p w14:paraId="16B7EA53">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仿宋" w:hAnsi="仿宋" w:eastAsia="仿宋" w:cs="Times New Roman"/>
          <w:b w:val="0"/>
          <w:kern w:val="2"/>
          <w:sz w:val="24"/>
          <w:szCs w:val="24"/>
          <w:lang w:val="en-US" w:eastAsia="zh-CN" w:bidi="ar-SA"/>
          <w14:ligatures w14:val="standardContextual"/>
        </w:rPr>
        <w:t>项目进度计划建议按项目启动与进场准备、需求确认、总体设计与详细设计、系统开发与配置、数据准备与接口联调、系统测试与问题整改、安装部署与上线运行、初验、试运行、终验和资料移交组织。商务要求明确以需求单位通知进场时间为准，进场后2个月内交货安装调试完毕并完成集成、部署、联调、上线运行；具体日期、里程碑和人力投入需人工复核。</w:t>
      </w:r>
    </w:p>
    <w:p w14: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5" w:name="_Ref881"/>
      <w:bookmarkStart w:id="36" w:name="_Toc24805"/>
      <w:bookmarkStart w:id="37" w:name="_Toc30998"/>
      <w:r>
        <w:rPr>
          <w:rFonts w:hint="eastAsia" w:ascii="黑体" w:hAnsi="黑体" w:eastAsia="黑体" w:cs="黑体"/>
          <w:sz w:val="28"/>
          <w:szCs w:val="32"/>
          <w:lang w:val="en-US" w:eastAsia="zh-CN"/>
        </w:rPr>
        <w:t>项目人员组成</w:t>
      </w:r>
      <w:bookmarkEnd w:id="35"/>
      <w:bookmarkEnd w:id="36"/>
      <w:bookmarkEnd w:id="37"/>
    </w:p>
    <w:p w14: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w14:ligatures w14:val="none"/>
        </w:rPr>
      </w:pPr>
      <w:r>
        <w:rPr>
          <w:rFonts w:hint="eastAsia" w:eastAsia="仿宋" w:cs="Times New Roman" w:ascii="仿宋" w:hAnsi="仿宋"/>
          <w:b w:val="0"/>
          <w:color w:val="auto"/>
          <w:sz w:val="24"/>
          <w:szCs w:val="24"/>
          <w:lang w:val="en-US" w:eastAsia="zh-CN"/>
          <w14:ligatures w14: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w14: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11D36328">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拟担任</w:t>
            </w:r>
          </w:p>
          <w:p w14:paraId="103247DA">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职务、分工</w:t>
            </w:r>
          </w:p>
        </w:tc>
        <w:tc>
          <w:tcPr>
            <w:tcW w:w="1026" w:type="dxa"/>
            <w:vAlign w:val="center"/>
          </w:tcPr>
          <w:p w14:paraId="10E840ED">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姓名</w:t>
            </w:r>
          </w:p>
        </w:tc>
        <w:tc>
          <w:tcPr>
            <w:tcW w:w="1156" w:type="dxa"/>
            <w:vAlign w:val="center"/>
          </w:tcPr>
          <w:p w14:paraId="1650095B">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职称</w:t>
            </w:r>
          </w:p>
        </w:tc>
        <w:tc>
          <w:tcPr>
            <w:tcW w:w="1156" w:type="dxa"/>
            <w:vAlign w:val="center"/>
          </w:tcPr>
          <w:p w14:paraId="0B2EF57E">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专业</w:t>
            </w:r>
          </w:p>
        </w:tc>
        <w:tc>
          <w:tcPr>
            <w:tcW w:w="1545" w:type="dxa"/>
            <w:vAlign w:val="center"/>
          </w:tcPr>
          <w:p w14:paraId="77AA6A57">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从业资格</w:t>
            </w:r>
          </w:p>
        </w:tc>
        <w:tc>
          <w:tcPr>
            <w:tcW w:w="2173" w:type="dxa"/>
            <w:vAlign w:val="center"/>
          </w:tcPr>
          <w:p w14:paraId="1374BFC8">
            <w:pPr>
              <w:widowControl/>
              <w:spacing w:after="0" w:line="351" w:lineRule="atLeast"/>
              <w:ind w:firstLine="0"/>
              <w:jc w:val="center"/>
              <w:textAlignment w:val="baseline"/>
              <w:rPr>
                <w:rFonts w:eastAsia="宋体" w:cs="Times New Roman"/>
                <w:color w:val="000000"/>
                <w:kern w:val="0"/>
                <w:sz w:val="21"/>
                <w:szCs w:val="20"/>
                <w:highlight w:val="none"/>
                <w:u w:color="000000"/>
                <w14:ligatures w14:val="none"/>
              </w:rPr>
            </w:pPr>
            <w:r>
              <w:rPr>
                <w:rFonts w:eastAsia="宋体" w:cs="Times New Roman"/>
                <w:color w:val="000000"/>
                <w:kern w:val="0"/>
                <w:sz w:val="21"/>
                <w:szCs w:val="20"/>
                <w:highlight w:val="none"/>
                <w:u w:color="000000"/>
                <w14:ligatures w14:val="none"/>
              </w:rPr>
              <w:t>相关工作年限</w:t>
            </w:r>
          </w:p>
        </w:tc>
      </w:tr>
      <w:tr w14: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r>
              <w:t>【CONFIRM:项目团队-职务分工】</w:t>
            </w:r>
          </w:p>
        </w:tc>
        <w:tc>
          <w:tcPr>
            <w:tcW w:w="1026" w:type="dxa"/>
            <w:vAlign w:val="center"/>
          </w:tcPr>
          <w:p>
            <w:r>
              <w:t>【CONFIRM:项目团队-姓名】</w:t>
            </w:r>
          </w:p>
        </w:tc>
        <w:tc>
          <w:tcPr>
            <w:tcW w:w="1156" w:type="dxa"/>
            <w:vAlign w:val="center"/>
          </w:tcPr>
          <w:p>
            <w:r>
              <w:t>【CONFIRM:项目团队-职称】</w:t>
            </w:r>
          </w:p>
        </w:tc>
        <w:tc>
          <w:tcPr>
            <w:tcW w:w="1156" w:type="dxa"/>
            <w:vAlign w:val="center"/>
          </w:tcPr>
          <w:p>
            <w:r>
              <w:t>【CONFIRM:项目团队-专业】</w:t>
            </w:r>
          </w:p>
        </w:tc>
        <w:tc>
          <w:tcPr>
            <w:tcW w:w="1545" w:type="dxa"/>
            <w:vAlign w:val="center"/>
          </w:tcPr>
          <w:p>
            <w:r>
              <w:t>【CONFIRM:项目团队-从业资格】</w:t>
            </w:r>
          </w:p>
        </w:tc>
        <w:tc>
          <w:tcPr>
            <w:tcW w:w="2173" w:type="dxa"/>
            <w:vAlign w:val="center"/>
          </w:tcPr>
          <w:p>
            <w:r>
              <w:t>【CONFIRM:项目团队-相关工作年限】</w:t>
            </w:r>
          </w:p>
        </w:tc>
      </w:tr>
      <w:tr w14: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69F98E6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21AFF85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65F57F7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2322EAA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5E7435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032C327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40646FE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7525C8C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762D66A5">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23F69253">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5A9637A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68D0DCAC">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437A6462">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3C7F4C73">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340D73F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00B194E4">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3B21376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790A059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2D9C102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2AC25F35">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1039056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358CE53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33E0B74A">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752FE7C">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1F8FDD7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1DF8443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04BE20C3">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55FF4C5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39B960E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64A35E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53106AA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06060A0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6781E05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4E8C7AA6">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A985915">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5FBC21C7">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791BB55F">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44E2F1E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74B51EB8">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79128564">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9A6AF5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68784F0">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r w14: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w14:paraId="15E71D29">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026" w:type="dxa"/>
            <w:vAlign w:val="center"/>
          </w:tcPr>
          <w:p w14:paraId="140E5091">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0FA51A8B">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156" w:type="dxa"/>
            <w:vAlign w:val="center"/>
          </w:tcPr>
          <w:p w14:paraId="3CB831BE">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1545" w:type="dxa"/>
            <w:vAlign w:val="center"/>
          </w:tcPr>
          <w:p w14:paraId="2F4903DC">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c>
          <w:tcPr>
            <w:tcW w:w="2173" w:type="dxa"/>
            <w:vAlign w:val="center"/>
          </w:tcPr>
          <w:p w14:paraId="1924E778">
            <w:pPr>
              <w:widowControl/>
              <w:spacing w:after="0" w:line="351" w:lineRule="atLeast"/>
              <w:ind w:firstLine="720"/>
              <w:jc w:val="center"/>
              <w:textAlignment w:val="baseline"/>
              <w:rPr>
                <w:rFonts w:eastAsia="宋体" w:cs="Times New Roman"/>
                <w:color w:val="000000"/>
                <w:kern w:val="0"/>
                <w:sz w:val="21"/>
                <w:szCs w:val="20"/>
                <w:highlight w:val="none"/>
                <w:u w:color="000000"/>
                <w14:ligatures w14:val="none"/>
              </w:rPr>
            </w:pPr>
          </w:p>
        </w:tc>
      </w:tr>
    </w:tbl>
    <w:p w14: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8" w:name="_Toc10496"/>
      <w:bookmarkStart w:id="39" w:name="_Toc11424"/>
      <w:r>
        <w:rPr>
          <w:rFonts w:hint="eastAsia" w:ascii="黑体" w:hAnsi="黑体" w:eastAsia="黑体" w:cs="黑体"/>
          <w:sz w:val="28"/>
          <w:szCs w:val="32"/>
          <w:lang w:val="en-US" w:eastAsia="zh-CN"/>
        </w:rPr>
        <w:t>成果交付及验收</w:t>
      </w:r>
      <w:bookmarkEnd w:id="38"/>
      <w:bookmarkEnd w:id="39"/>
    </w:p>
    <w:p w14:paraId="36460B79">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仿宋" w:hAnsi="仿宋" w:eastAsia="仿宋" w:cs="Times New Roman"/>
          <w:b w:val="0"/>
          <w:kern w:val="2"/>
          <w:sz w:val="24"/>
          <w:szCs w:val="24"/>
          <w:lang w:val="en-US" w:eastAsia="zh-CN" w:bidi="ar-SA"/>
          <w14:ligatures w14:val="standardContextual"/>
        </w:rPr>
        <w:t>成果交付及验收应按照甲方编制的验收大纲、规范和合同要求执行。乙方需配合完成外包验收工作，提供必要的数据、记录、文件和现场支持。验收重点包括软件在甲方提供设备上可靠运行、功能和性能满足技术要求、接口联调通过、安全测试报告完整、技术文档符合GJB438C-2021、问题整改闭环。具体验收口径和拒收准则需结合合同及验收大纲复核。</w:t>
      </w:r>
    </w:p>
    <w:p w14:paraId="0DD3D6C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仿宋" w:ascii="仿宋" w:hAnsi="仿宋"/>
          <w:b w:val="0"/>
          <w:bCs/>
          <w:sz w:val="24"/>
          <w:szCs w:val="32"/>
          <w:lang w:val="en-US" w:eastAsia="zh-CN"/>
        </w:rPr>
        <w:t>交付物清单依据技术要求表1形成初稿，最终数量、介质、格式和签收要求需人工复核。</w:t>
      </w:r>
    </w:p>
    <w:tbl>
      <w:tblPr>
        <w:tblStyle w:val="26"/>
        <w:tblW w:type="auto" w:w="0"/>
        <w:tblLook w:firstColumn="1" w:firstRow="1" w:lastColumn="0" w:lastRow="0" w:noHBand="0" w:noVBand="1" w:val="04A0"/>
      </w:tblPr>
      <w:tblGrid>
        <w:gridCol w:w="1661"/>
        <w:gridCol w:w="1661"/>
        <w:gridCol w:w="1661"/>
        <w:gridCol w:w="1661"/>
        <w:gridCol w:w="1661"/>
      </w:tblGrid>
      <w:tr>
        <w:tc>
          <w:tcPr>
            <w:tcW w:type="dxa" w:w="1661"/>
          </w:tcPr>
          <w:p>
            <w:pPr>
              <w:spacing w:line="264" w:lineRule="auto"/>
            </w:pPr>
            <w:r>
              <w:rPr>
                <w:rFonts w:ascii="仿宋" w:hAnsi="仿宋" w:eastAsia="仿宋"/>
                <w:sz w:val="21"/>
              </w:rPr>
              <w:t>序号</w:t>
            </w:r>
          </w:p>
        </w:tc>
        <w:tc>
          <w:tcPr>
            <w:tcW w:type="dxa" w:w="1661"/>
          </w:tcPr>
          <w:p>
            <w:pPr>
              <w:spacing w:line="264" w:lineRule="auto"/>
            </w:pPr>
            <w:r>
              <w:rPr>
                <w:rFonts w:ascii="仿宋" w:hAnsi="仿宋" w:eastAsia="仿宋"/>
                <w:sz w:val="21"/>
              </w:rPr>
              <w:t>交付物名称</w:t>
            </w:r>
          </w:p>
        </w:tc>
        <w:tc>
          <w:tcPr>
            <w:tcW w:type="dxa" w:w="1661"/>
          </w:tcPr>
          <w:p>
            <w:pPr>
              <w:spacing w:line="264" w:lineRule="auto"/>
            </w:pPr>
            <w:r>
              <w:rPr>
                <w:rFonts w:ascii="仿宋" w:hAnsi="仿宋" w:eastAsia="仿宋"/>
                <w:sz w:val="21"/>
              </w:rPr>
              <w:t>数量</w:t>
            </w:r>
          </w:p>
        </w:tc>
        <w:tc>
          <w:tcPr>
            <w:tcW w:type="dxa" w:w="1661"/>
          </w:tcPr>
          <w:p>
            <w:pPr>
              <w:spacing w:line="264" w:lineRule="auto"/>
            </w:pPr>
            <w:r>
              <w:rPr>
                <w:rFonts w:ascii="仿宋" w:hAnsi="仿宋" w:eastAsia="仿宋"/>
                <w:sz w:val="21"/>
              </w:rPr>
              <w:t>成果形式</w:t>
            </w:r>
          </w:p>
        </w:tc>
        <w:tc>
          <w:tcPr>
            <w:tcW w:type="dxa" w:w="1661"/>
          </w:tcPr>
          <w:p>
            <w:pPr>
              <w:spacing w:line="264" w:lineRule="auto"/>
            </w:pPr>
            <w:r>
              <w:rPr>
                <w:rFonts w:ascii="仿宋" w:hAnsi="仿宋" w:eastAsia="仿宋"/>
                <w:sz w:val="21"/>
              </w:rPr>
              <w:t>备注</w:t>
            </w:r>
          </w:p>
        </w:tc>
      </w:tr>
      <w:tr>
        <w:tc>
          <w:tcPr>
            <w:tcW w:type="dxa" w:w="1661"/>
          </w:tcPr>
          <w:p>
            <w:pPr>
              <w:spacing w:line="264" w:lineRule="auto"/>
            </w:pPr>
            <w:r>
              <w:rPr>
                <w:rFonts w:ascii="仿宋" w:hAnsi="仿宋" w:eastAsia="仿宋"/>
                <w:sz w:val="21"/>
              </w:rPr>
              <w:t>1</w:t>
            </w:r>
          </w:p>
        </w:tc>
        <w:tc>
          <w:tcPr>
            <w:tcW w:type="dxa" w:w="1661"/>
          </w:tcPr>
          <w:p>
            <w:pPr>
              <w:spacing w:line="264" w:lineRule="auto"/>
            </w:pPr>
            <w:r>
              <w:rPr>
                <w:rFonts w:ascii="仿宋" w:hAnsi="仿宋" w:eastAsia="仿宋"/>
                <w:sz w:val="21"/>
              </w:rPr>
              <w:t>交付软件源代码和可执行文件在2套甲方提供的设备上能可靠运行</w:t>
            </w:r>
          </w:p>
        </w:tc>
        <w:tc>
          <w:tcPr>
            <w:tcW w:type="dxa" w:w="1661"/>
          </w:tcPr>
          <w:p>
            <w:pPr>
              <w:spacing w:line="264" w:lineRule="auto"/>
            </w:pPr>
            <w:r>
              <w:rPr>
                <w:rFonts w:ascii="仿宋" w:hAnsi="仿宋" w:eastAsia="仿宋"/>
                <w:sz w:val="21"/>
              </w:rPr>
              <w:t>2套</w:t>
            </w:r>
          </w:p>
        </w:tc>
        <w:tc>
          <w:tcPr>
            <w:tcW w:type="dxa" w:w="1661"/>
          </w:tcPr>
          <w:p>
            <w:pPr>
              <w:spacing w:line="264" w:lineRule="auto"/>
            </w:pPr>
            <w:r>
              <w:rPr>
                <w:rFonts w:ascii="仿宋" w:hAnsi="仿宋" w:eastAsia="仿宋"/>
                <w:sz w:val="21"/>
              </w:rPr>
              <w:t>实物</w:t>
            </w:r>
          </w:p>
        </w:tc>
        <w:tc>
          <w:tcPr>
            <w:tcW w:type="dxa" w:w="1661"/>
          </w:tcPr>
          <w:p>
            <w:pPr>
              <w:spacing w:line="264" w:lineRule="auto"/>
            </w:pPr>
            <w:r>
              <w:rPr>
                <w:rFonts w:ascii="仿宋" w:hAnsi="仿宋" w:eastAsia="仿宋"/>
                <w:sz w:val="21"/>
              </w:rPr>
              <w:t>按甲方设备环境验证</w:t>
            </w:r>
          </w:p>
        </w:tc>
      </w:tr>
      <w:tr>
        <w:tc>
          <w:tcPr>
            <w:tcW w:type="dxa" w:w="1661"/>
          </w:tcPr>
          <w:p>
            <w:pPr>
              <w:spacing w:line="264" w:lineRule="auto"/>
            </w:pPr>
            <w:r>
              <w:rPr>
                <w:rFonts w:ascii="仿宋" w:hAnsi="仿宋" w:eastAsia="仿宋"/>
                <w:sz w:val="21"/>
              </w:rPr>
              <w:t>2</w:t>
            </w:r>
          </w:p>
        </w:tc>
        <w:tc>
          <w:tcPr>
            <w:tcW w:type="dxa" w:w="1661"/>
          </w:tcPr>
          <w:p>
            <w:pPr>
              <w:spacing w:line="264" w:lineRule="auto"/>
            </w:pPr>
            <w:r>
              <w:rPr>
                <w:rFonts w:ascii="仿宋" w:hAnsi="仿宋" w:eastAsia="仿宋"/>
                <w:sz w:val="21"/>
              </w:rPr>
              <w:t>交付软件源代码（含完整注释）及可执行文件</w:t>
            </w:r>
          </w:p>
        </w:tc>
        <w:tc>
          <w:tcPr>
            <w:tcW w:type="dxa" w:w="1661"/>
          </w:tcPr>
          <w:p>
            <w:pPr>
              <w:spacing w:line="264" w:lineRule="auto"/>
            </w:pPr>
            <w:r>
              <w:rPr>
                <w:rFonts w:ascii="仿宋" w:hAnsi="仿宋" w:eastAsia="仿宋"/>
                <w:sz w:val="21"/>
              </w:rPr>
              <w:t>1份</w:t>
            </w:r>
          </w:p>
        </w:tc>
        <w:tc>
          <w:tcPr>
            <w:tcW w:type="dxa" w:w="1661"/>
          </w:tcPr>
          <w:p>
            <w:pPr>
              <w:spacing w:line="264" w:lineRule="auto"/>
            </w:pPr>
            <w:r>
              <w:rPr>
                <w:rFonts w:ascii="仿宋" w:hAnsi="仿宋" w:eastAsia="仿宋"/>
                <w:sz w:val="21"/>
              </w:rPr>
              <w:t>纸质、光盘</w:t>
            </w:r>
          </w:p>
        </w:tc>
        <w:tc>
          <w:tcPr>
            <w:tcW w:type="dxa" w:w="1661"/>
          </w:tcPr>
          <w:p>
            <w:pPr>
              <w:spacing w:line="264" w:lineRule="auto"/>
            </w:pPr>
            <w:r>
              <w:rPr>
                <w:rFonts w:ascii="仿宋" w:hAnsi="仿宋" w:eastAsia="仿宋"/>
                <w:sz w:val="21"/>
              </w:rPr>
              <w:t>版本、介质和签收要求需复核</w:t>
            </w:r>
          </w:p>
        </w:tc>
      </w:tr>
      <w:tr>
        <w:tc>
          <w:tcPr>
            <w:tcW w:type="dxa" w:w="1661"/>
          </w:tcPr>
          <w:p>
            <w:pPr>
              <w:spacing w:line="264" w:lineRule="auto"/>
            </w:pPr>
            <w:r>
              <w:rPr>
                <w:rFonts w:ascii="仿宋" w:hAnsi="仿宋" w:eastAsia="仿宋"/>
                <w:sz w:val="21"/>
              </w:rPr>
              <w:t>3</w:t>
            </w:r>
          </w:p>
        </w:tc>
        <w:tc>
          <w:tcPr>
            <w:tcW w:type="dxa" w:w="1661"/>
          </w:tcPr>
          <w:p>
            <w:pPr>
              <w:spacing w:line="264" w:lineRule="auto"/>
            </w:pPr>
            <w:r>
              <w:rPr>
                <w:rFonts w:ascii="仿宋" w:hAnsi="仿宋" w:eastAsia="仿宋"/>
                <w:sz w:val="21"/>
              </w:rPr>
              <w:t>软件部署及运维指南</w:t>
            </w:r>
          </w:p>
        </w:tc>
        <w:tc>
          <w:tcPr>
            <w:tcW w:type="dxa" w:w="1661"/>
          </w:tcPr>
          <w:p>
            <w:pPr>
              <w:spacing w:line="264" w:lineRule="auto"/>
            </w:pPr>
            <w:r>
              <w:rPr>
                <w:rFonts w:ascii="仿宋" w:hAnsi="仿宋" w:eastAsia="仿宋"/>
                <w:sz w:val="21"/>
              </w:rPr>
              <w:t>1份</w:t>
            </w:r>
          </w:p>
        </w:tc>
        <w:tc>
          <w:tcPr>
            <w:tcW w:type="dxa" w:w="1661"/>
          </w:tcPr>
          <w:p>
            <w:pPr>
              <w:spacing w:line="264" w:lineRule="auto"/>
            </w:pPr>
            <w:r>
              <w:rPr>
                <w:rFonts w:ascii="仿宋" w:hAnsi="仿宋" w:eastAsia="仿宋"/>
                <w:sz w:val="21"/>
              </w:rPr>
              <w:t>纸质、光盘</w:t>
            </w:r>
          </w:p>
        </w:tc>
        <w:tc>
          <w:tcPr>
            <w:tcW w:type="dxa" w:w="1661"/>
          </w:tcPr>
          <w:p>
            <w:pPr>
              <w:spacing w:line="264" w:lineRule="auto"/>
            </w:pPr>
            <w:r>
              <w:rPr>
                <w:rFonts w:ascii="仿宋" w:hAnsi="仿宋" w:eastAsia="仿宋"/>
                <w:sz w:val="21"/>
              </w:rPr>
              <w:t>含部署、配置、备份、恢复和故障处理</w:t>
            </w:r>
          </w:p>
        </w:tc>
      </w:tr>
      <w:tr>
        <w:tc>
          <w:tcPr>
            <w:tcW w:type="dxa" w:w="1661"/>
          </w:tcPr>
          <w:p>
            <w:pPr>
              <w:spacing w:line="264" w:lineRule="auto"/>
            </w:pPr>
            <w:r>
              <w:rPr>
                <w:rFonts w:ascii="仿宋" w:hAnsi="仿宋" w:eastAsia="仿宋"/>
                <w:sz w:val="21"/>
              </w:rPr>
              <w:t>4</w:t>
            </w:r>
          </w:p>
        </w:tc>
        <w:tc>
          <w:tcPr>
            <w:tcW w:type="dxa" w:w="1661"/>
          </w:tcPr>
          <w:p>
            <w:pPr>
              <w:spacing w:line="264" w:lineRule="auto"/>
            </w:pPr>
            <w:r>
              <w:rPr>
                <w:rFonts w:ascii="仿宋" w:hAnsi="仿宋" w:eastAsia="仿宋"/>
                <w:sz w:val="21"/>
              </w:rPr>
              <w:t>按GJB438C-2021提供技术文档</w:t>
            </w:r>
          </w:p>
        </w:tc>
        <w:tc>
          <w:tcPr>
            <w:tcW w:type="dxa" w:w="1661"/>
          </w:tcPr>
          <w:p>
            <w:pPr>
              <w:spacing w:line="264" w:lineRule="auto"/>
            </w:pPr>
            <w:r>
              <w:rPr>
                <w:rFonts w:ascii="仿宋" w:hAnsi="仿宋" w:eastAsia="仿宋"/>
                <w:sz w:val="21"/>
              </w:rPr>
              <w:t>1套</w:t>
            </w:r>
          </w:p>
        </w:tc>
        <w:tc>
          <w:tcPr>
            <w:tcW w:type="dxa" w:w="1661"/>
          </w:tcPr>
          <w:p>
            <w:pPr>
              <w:spacing w:line="264" w:lineRule="auto"/>
            </w:pPr>
            <w:r>
              <w:rPr>
                <w:rFonts w:ascii="仿宋" w:hAnsi="仿宋" w:eastAsia="仿宋"/>
                <w:sz w:val="21"/>
              </w:rPr>
              <w:t>纸质、光盘</w:t>
            </w:r>
          </w:p>
        </w:tc>
        <w:tc>
          <w:tcPr>
            <w:tcW w:type="dxa" w:w="1661"/>
          </w:tcPr>
          <w:p>
            <w:pPr>
              <w:spacing w:line="264" w:lineRule="auto"/>
            </w:pPr>
            <w:r>
              <w:rPr>
                <w:rFonts w:ascii="仿宋" w:hAnsi="仿宋" w:eastAsia="仿宋"/>
                <w:sz w:val="21"/>
              </w:rPr>
              <w:t>文档目录和模板需复核</w:t>
            </w:r>
          </w:p>
        </w:tc>
      </w:tr>
    </w:tbl>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w14: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w14: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序号</w:t>
            </w:r>
          </w:p>
        </w:tc>
        <w:tc>
          <w:tcPr>
            <w:tcW w:w="3379" w:type="dxa"/>
            <w:noWrap w:val="0"/>
            <w:vAlign w:val="center"/>
          </w:tcPr>
          <w:p w14: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名称</w:t>
            </w:r>
          </w:p>
        </w:tc>
        <w:tc>
          <w:tcPr>
            <w:tcW w:w="833" w:type="dxa"/>
            <w:noWrap w:val="0"/>
            <w:vAlign w:val="center"/>
          </w:tcPr>
          <w:p w14: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数量</w:t>
            </w:r>
          </w:p>
        </w:tc>
        <w:tc>
          <w:tcPr>
            <w:tcW w:w="970" w:type="dxa"/>
            <w:noWrap w:val="0"/>
            <w:vAlign w:val="center"/>
          </w:tcPr>
          <w:p w14: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单位</w:t>
            </w:r>
          </w:p>
        </w:tc>
        <w:tc>
          <w:tcPr>
            <w:tcW w:w="2470" w:type="dxa"/>
            <w:noWrap w:val="0"/>
            <w:vAlign w:val="center"/>
          </w:tcPr>
          <w:p w14: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成果形式</w:t>
            </w:r>
          </w:p>
        </w:tc>
      </w:tr>
      <w:tr w14: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A71C771">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软件开发计划</w:t>
            </w:r>
          </w:p>
        </w:tc>
        <w:tc>
          <w:tcPr>
            <w:tcW w:w="833" w:type="dxa"/>
            <w:noWrap w:val="0"/>
            <w:vAlign w:val="center"/>
          </w:tcPr>
          <w:p w14: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6A40C8F">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软件配置管理计划</w:t>
            </w:r>
          </w:p>
        </w:tc>
        <w:tc>
          <w:tcPr>
            <w:tcW w:w="833" w:type="dxa"/>
            <w:noWrap w:val="0"/>
            <w:vAlign w:val="center"/>
          </w:tcPr>
          <w:p w14: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DBFB5F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软件质量保证计划</w:t>
            </w:r>
          </w:p>
        </w:tc>
        <w:tc>
          <w:tcPr>
            <w:tcW w:w="833" w:type="dxa"/>
            <w:noWrap w:val="0"/>
            <w:vAlign w:val="center"/>
          </w:tcPr>
          <w:p w14: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03AC4C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需求规格说明</w:t>
            </w:r>
          </w:p>
        </w:tc>
        <w:tc>
          <w:tcPr>
            <w:tcW w:w="833" w:type="dxa"/>
            <w:noWrap w:val="0"/>
            <w:vAlign w:val="center"/>
          </w:tcPr>
          <w:p w14: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4375E589">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功能设计说明</w:t>
            </w:r>
          </w:p>
        </w:tc>
        <w:tc>
          <w:tcPr>
            <w:tcW w:w="833" w:type="dxa"/>
            <w:noWrap w:val="0"/>
            <w:vAlign w:val="center"/>
          </w:tcPr>
          <w:p w14: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022F3E02">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测试总结</w:t>
            </w:r>
          </w:p>
        </w:tc>
        <w:tc>
          <w:tcPr>
            <w:tcW w:w="833" w:type="dxa"/>
            <w:noWrap w:val="0"/>
            <w:vAlign w:val="center"/>
          </w:tcPr>
          <w:p w14: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7F167249">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用户手册</w:t>
            </w:r>
          </w:p>
        </w:tc>
        <w:tc>
          <w:tcPr>
            <w:tcW w:w="833" w:type="dxa"/>
            <w:noWrap w:val="0"/>
            <w:vAlign w:val="center"/>
          </w:tcPr>
          <w:p w14: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D069A1F">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配置管理总结</w:t>
            </w:r>
          </w:p>
        </w:tc>
        <w:tc>
          <w:tcPr>
            <w:tcW w:w="833" w:type="dxa"/>
            <w:noWrap w:val="0"/>
            <w:vAlign w:val="center"/>
          </w:tcPr>
          <w:p w14: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7E51BBE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项目研制总结报告</w:t>
            </w:r>
          </w:p>
        </w:tc>
        <w:tc>
          <w:tcPr>
            <w:tcW w:w="833" w:type="dxa"/>
            <w:noWrap w:val="0"/>
            <w:vAlign w:val="center"/>
          </w:tcPr>
          <w:p w14: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3F5530F0">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项目管理过程文档</w:t>
            </w:r>
          </w:p>
        </w:tc>
        <w:tc>
          <w:tcPr>
            <w:tcW w:w="833" w:type="dxa"/>
            <w:noWrap w:val="0"/>
            <w:vAlign w:val="center"/>
          </w:tcPr>
          <w:p w14: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51D549A9">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自主可控评估大纲</w:t>
            </w:r>
          </w:p>
        </w:tc>
        <w:tc>
          <w:tcPr>
            <w:tcW w:w="833" w:type="dxa"/>
            <w:noWrap w:val="0"/>
            <w:vAlign w:val="center"/>
          </w:tcPr>
          <w:p w14: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2271F89A">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自主可控评估报告</w:t>
            </w:r>
          </w:p>
        </w:tc>
        <w:tc>
          <w:tcPr>
            <w:tcW w:w="833" w:type="dxa"/>
            <w:noWrap w:val="0"/>
            <w:vAlign w:val="center"/>
          </w:tcPr>
          <w:p w14: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51EA49B0">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合同及经费穿透监管配套材料</w:t>
            </w:r>
          </w:p>
        </w:tc>
        <w:tc>
          <w:tcPr>
            <w:tcW w:w="833" w:type="dxa"/>
            <w:noWrap w:val="0"/>
            <w:vAlign w:val="center"/>
          </w:tcPr>
          <w:p w14: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文档</w:t>
            </w:r>
          </w:p>
        </w:tc>
      </w:tr>
      <w:tr w14: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w14:paraId="077848AC">
            <w:pPr>
              <w:widowControl w:val="0"/>
              <w:numPr>
                <w:ilvl w:val="0"/>
                <w:numId w:val="19"/>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w14:ligatures w14:val="standardContextual"/>
              </w:rPr>
            </w:pPr>
          </w:p>
        </w:tc>
        <w:tc>
          <w:tcPr>
            <w:tcW w:w="3379" w:type="dxa"/>
            <w:noWrap w:val="0"/>
            <w:vAlign w:val="center"/>
          </w:tcPr>
          <w:p w14: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软件</w:t>
            </w:r>
          </w:p>
        </w:tc>
        <w:tc>
          <w:tcPr>
            <w:tcW w:w="833" w:type="dxa"/>
            <w:noWrap w:val="0"/>
            <w:vAlign w:val="center"/>
          </w:tcPr>
          <w:p w14: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w:t>
            </w:r>
          </w:p>
        </w:tc>
        <w:tc>
          <w:tcPr>
            <w:tcW w:w="970" w:type="dxa"/>
            <w:noWrap w:val="0"/>
            <w:vAlign w:val="center"/>
          </w:tcPr>
          <w:p w14: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套</w:t>
            </w:r>
          </w:p>
        </w:tc>
        <w:tc>
          <w:tcPr>
            <w:tcW w:w="2470" w:type="dxa"/>
            <w:noWrap w:val="0"/>
            <w:vAlign w:val="center"/>
          </w:tcPr>
          <w:p w14: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可执行程序及源代码</w:t>
            </w:r>
          </w:p>
        </w:tc>
      </w:tr>
    </w:tbl>
    <w:p w14: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42" w:name="_Toc13693"/>
      <w:bookmarkStart w:id="43" w:name="_Toc3244"/>
      <w:r>
        <w:rPr>
          <w:rFonts w:hint="eastAsia" w:ascii="黑体" w:hAnsi="黑体" w:eastAsia="黑体" w:cs="黑体"/>
          <w:sz w:val="28"/>
          <w:szCs w:val="32"/>
          <w:lang w:val="en-US" w:eastAsia="zh-CN"/>
        </w:rPr>
        <w:t>售后服务及承诺</w:t>
      </w:r>
      <w:bookmarkEnd w:id="42"/>
      <w:bookmarkEnd w:id="43"/>
    </w:p>
    <w:p w14:paraId="696A1496">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44" w:name="_Ref3359"/>
      <w:r>
        <w:rPr>
          <w:rFonts w:hint="eastAsia" w:eastAsia="仿宋" w:ascii="仿宋" w:hAnsi="仿宋"/>
          <w:b w:val="0"/>
          <w:bCs/>
          <w:sz w:val="24"/>
          <w:szCs w:val="32"/>
          <w:lang w:val="en-US" w:eastAsia="zh-CN"/>
        </w:rPr>
        <w:t>培训方案依据商务要求设置理论培训、现场操作培训和资料交付三类内容，培训对象为甲方指定的系统使用人员、系统管理人员和维护保障人员，具体对象与人数按甲方要求执行。培训目标是使受训人员掌握电子海图显示、航线规划、目标态势查看、安全告警确认、海图更新、数据备份、系统配置和常见故障处理等能力。</w:t>
      </w:r>
      <w:bookmarkEnd w:id="44"/>
    </w:p>
    <w:p>
      <w:pPr>
        <w:spacing w:line="300" w:lineRule="auto"/>
        <w:ind w:firstLine="480"/>
      </w:pPr>
      <w:r>
        <w:rPr>
          <w:rFonts w:ascii="仿宋" w:hAnsi="仿宋" w:eastAsia="仿宋"/>
        </w:rPr>
        <w:t>培训内容包括系统总体介绍、标准电子海图基础、界面操作、显示模式切换、航线规划与安全检查、AIS/雷达/ARPA目标查看、安全等深线与水深告警、航行监控、接口状态检查、海图更新、日志查询、备份恢复、权限管理和应急处置。培训方式包括课堂讲解、现场演示、实操练习、问题答疑和考核反馈。</w:t>
      </w:r>
    </w:p>
    <w:p>
      <w:pPr>
        <w:spacing w:line="300" w:lineRule="auto"/>
        <w:ind w:firstLine="480"/>
      </w:pPr>
      <w:r>
        <w:rPr>
          <w:rFonts w:ascii="仿宋" w:hAnsi="仿宋" w:eastAsia="仿宋"/>
        </w:rPr>
        <w:t>培训资料包括安装手册、软件使用手册、培训PPT或视频、操作流程说明和常见问题处理清单。培训教员应具备相同课程教学经验并使用中文授课。培训次数按商务要求不超过5次，每次不少于60分钟；培训时间、地点、授课老师和具体课程安排应结合项目实施进度和甲方要求最终确认。培训结束后形成签到、培训记录、问题清单和效果反馈，为后续售后服务和运维保障提供依据。</w:t>
      </w:r>
    </w:p>
    <w:p w14: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eastAsia="仿宋" w:cs="Times New Roman" w:ascii="仿宋" w:hAnsi="仿宋"/>
          <w:b w:val="0"/>
          <w:sz w:val="24"/>
          <w:szCs w:val="18"/>
          <w:lang w:val="en-US" w:eastAsia="zh-CN"/>
          <w14:ligatures w14:val="none"/>
        </w:rPr>
        <w:t>【CONFIRM:质量保证期承诺】</w:t>
      </w:r>
      <w:r>
        <w:rPr>
          <w:rFonts w:hint="eastAsia" w:ascii="仿宋" w:hAnsi="仿宋" w:eastAsia="仿宋" w:cs="Times New Roman"/>
          <w:sz w:val="24"/>
          <w:szCs w:val="18"/>
          <w:lang w:val="en-US" w:eastAsia="zh-CN"/>
          <w14:ligatures w14:val="none"/>
        </w:rPr>
      </w:r>
      <w:r>
        <w:rPr>
          <w:rFonts w:hint="eastAsia" w:eastAsia="仿宋" w:cs="Times New Roman" w:ascii="仿宋" w:hAnsi="仿宋"/>
          <w:sz w:val="24"/>
          <w:szCs w:val="18"/>
          <w:lang w:val="en-US" w:eastAsia="zh-CN"/>
          <w14:ligatures w14:val="none"/>
        </w:rPr>
      </w:r>
      <w:r>
        <w:rPr>
          <w:rFonts w:hint="eastAsia" w:ascii="仿宋" w:hAnsi="仿宋" w:eastAsia="仿宋" w:cs="Times New Roman"/>
          <w:sz w:val="24"/>
          <w:szCs w:val="18"/>
          <w:lang w:val="en-US" w:eastAsia="zh-CN"/>
          <w14:ligatures w14:val="none"/>
        </w:rPr>
      </w:r>
    </w:p>
    <w:p w14: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仿宋" w:hAnsi="仿宋" w:eastAsia="仿宋" w:cs="Times New Roman"/>
          <w:b w:val="0"/>
          <w:sz w:val="24"/>
          <w:szCs w:val="18"/>
          <w:lang w:val="en-US" w:eastAsia="zh-CN"/>
          <w14:ligatures w14:val="none"/>
        </w:rPr>
        <w:t>【CONFIRM:售后服务响应承诺】</w:t>
      </w:r>
    </w:p>
    <w:p w14:paraId="0A605991">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w14:ligatures w14:val="none"/>
        </w:rPr>
      </w:pPr>
      <w:r>
        <w:rPr>
          <w:rFonts w:hint="eastAsia" w:ascii="仿宋" w:hAnsi="仿宋" w:eastAsia="仿宋" w:cs="Times New Roman"/>
          <w:b w:val="0"/>
          <w:sz w:val="24"/>
          <w:szCs w:val="18"/>
          <w:lang w:val="en-US" w:eastAsia="zh-CN"/>
          <w14:ligatures w14:val="none"/>
        </w:rPr>
        <w:t>应急支援保障应结合商务要求中的远程指导、现地排故、驻场调试、重大问题现场技术支持和问题处理报告要求进行承诺。具体联系人、响应级别、到场方式、备件或工具保障、报告模板和费用边界需人工复核。</w:t>
      </w:r>
    </w:p>
    <w:p w14:paraId="0DC915E9">
      <w:pPr>
        <w:widowControl/>
        <w:numPr>
          <w:ilvl w:val="0"/>
          <w:numId w:val="20"/>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w14:ligatures w14:val="none"/>
        </w:rPr>
      </w:pPr>
      <w:r>
        <w:rPr>
          <w:rFonts w:hint="eastAsia" w:ascii="仿宋" w:hAnsi="仿宋" w:eastAsia="仿宋" w:cs="Times New Roman"/>
          <w:b w:val="0"/>
          <w:sz w:val="24"/>
          <w:szCs w:val="18"/>
          <w:lang w:val="en-US" w:eastAsia="zh-CN"/>
          <w14:ligatures w14:val="none"/>
        </w:rPr>
        <w:t>定期跟踪服务可包括质保期内定期巡检、运行状态回访、问题统计分析、版本维护建议、培训补强和服务记录归档。具体巡检频次、服务方式、责任人和书面报告要求需结合投标人服务能力及合同条款复核。</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Microsoft JhengHei UI">
    <w:panose1 w:val="020B0604030504040204"/>
    <w:charset w:val="88"/>
    <w:family w:val="swiss"/>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dobe 宋体 Std L">
    <w:panose1 w:val="02020300000000000000"/>
    <w:charset w:val="86"/>
    <w:family w:val="roman"/>
    <w:pitch w:val="default"/>
    <w:sig w:usb0="00000001" w:usb1="0A0F1810" w:usb2="00000016" w:usb3="00000000" w:csb0="00060007"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71A1E"/>
    <w:multiLevelType w:val="singleLevel"/>
    <w:tmpl w:val="A1E71A1E"/>
    <w:lvl w:ilvl="0" w:tentative="0">
      <w:start w:val="1"/>
      <w:numFmt w:val="decimal"/>
      <w:lvlText w:val="%1."/>
      <w:lvlJc w:val="left"/>
      <w:pPr>
        <w:tabs>
          <w:tab w:val="left" w:pos="420"/>
        </w:tabs>
        <w:ind w:left="845" w:hanging="425"/>
      </w:pPr>
      <w:rPr>
        <w:rFonts w:hint="default"/>
      </w:rPr>
    </w:lvl>
  </w:abstractNum>
  <w:abstractNum w:abstractNumId="1">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2">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3">
    <w:nsid w:val="124CC255"/>
    <w:multiLevelType w:val="singleLevel"/>
    <w:tmpl w:val="124CC255"/>
    <w:lvl w:ilvl="0" w:tentative="0">
      <w:start w:val="1"/>
      <w:numFmt w:val="decimal"/>
      <w:suff w:val="nothing"/>
      <w:lvlText w:val="（%1）"/>
      <w:lvlJc w:val="left"/>
    </w:lvl>
  </w:abstractNum>
  <w:abstractNum w:abstractNumId="4">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6">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7">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2737981"/>
    <w:multiLevelType w:val="singleLevel"/>
    <w:tmpl w:val="52737981"/>
    <w:lvl w:ilvl="0" w:tentative="0">
      <w:start w:val="1"/>
      <w:numFmt w:val="decimal"/>
      <w:lvlText w:val="(%1)"/>
      <w:lvlJc w:val="left"/>
      <w:pPr>
        <w:tabs>
          <w:tab w:val="left" w:pos="420"/>
        </w:tabs>
        <w:ind w:left="845" w:hanging="425"/>
      </w:pPr>
      <w:rPr>
        <w:rFonts w:hint="default"/>
      </w:rPr>
    </w:lvl>
  </w:abstractNum>
  <w:abstractNum w:abstractNumId="9">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11">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3">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5">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6">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7">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8">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4"/>
  </w:num>
  <w:num w:numId="2">
    <w:abstractNumId w:val="11"/>
  </w:num>
  <w:num w:numId="3">
    <w:abstractNumId w:val="16"/>
  </w:num>
  <w:num w:numId="4">
    <w:abstractNumId w:val="17"/>
  </w:num>
  <w:num w:numId="5">
    <w:abstractNumId w:val="13"/>
  </w:num>
  <w:num w:numId="6">
    <w:abstractNumId w:val="14"/>
  </w:num>
  <w:num w:numId="7">
    <w:abstractNumId w:val="9"/>
  </w:num>
  <w:num w:numId="8">
    <w:abstractNumId w:val="18"/>
  </w:num>
  <w:num w:numId="9">
    <w:abstractNumId w:val="7"/>
  </w:num>
  <w:num w:numId="10">
    <w:abstractNumId w:val="6"/>
  </w:num>
  <w:num w:numId="11">
    <w:abstractNumId w:val="15"/>
  </w:num>
  <w:num w:numId="12">
    <w:abstractNumId w:val="10"/>
  </w:num>
  <w:num w:numId="13">
    <w:abstractNumId w:val="12"/>
  </w:num>
  <w:num w:numId="14">
    <w:abstractNumId w:val="5"/>
  </w:num>
  <w:num w:numId="15">
    <w:abstractNumId w:val="1"/>
  </w:num>
  <w:num w:numId="16">
    <w:abstractNumId w:val="0"/>
  </w:num>
  <w:num w:numId="17">
    <w:abstractNumId w:val="3"/>
  </w:num>
  <w:num w:numId="18">
    <w:abstractNumId w:val="8"/>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381DA7"/>
    <w:rsid w:val="3FF102E8"/>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23</Pages>
  <Words>11020</Words>
  <Characters>12222</Characters>
  <Lines>1340</Lines>
  <Paragraphs>377</Paragraphs>
  <TotalTime>0</TotalTime>
  <ScaleCrop>false</ScaleCrop>
  <LinksUpToDate>false</LinksUpToDate>
  <CharactersWithSpaces>12285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2026-05-29T09:20:38Z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CC6D1B0B84CA47E7B918AED955BEBFF1_13</vt:lpwstr>
  </property>
  <property fmtid="{D5CDD505-2E9C-101B-9397-08002B2CF9AE}" pid="4" name="KSOTemplateDocerSaveRecord">
    <vt:lpwstr>eyJoZGlkIjoiZjVmZTk4YzdjZTllMmUzMzhiMzhiOTMwNDA4ZmY0MGYiLCJ1c2VySWQiOiI2Mzc2OTk4MDMifQ==</vt:lpwstr>
  </property>
</Properties>
</file>