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w14:paraId="50F4E0A5">
        <w:tblPrEx>
          <w:tblCellMar>
            <w:top w:w="0" w:type="dxa"/>
            <w:left w:w="0" w:type="dxa"/>
            <w:bottom w:w="0" w:type="dxa"/>
            <w:right w:w="0" w:type="dxa"/>
          </w:tblCellMar>
        </w:tblPrEx>
        <w:trPr>
          <w:cantSplit/>
        </w:trPr>
        <w:tc>
          <w:tcPr>
            <w:tcW w:w="8145" w:type="dxa"/>
          </w:tcPr>
          <w:p w14: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w14:paraId="05E24A59">
        <w:tblPrEx>
          <w:tblCellMar>
            <w:top w:w="0" w:type="dxa"/>
            <w:left w:w="0" w:type="dxa"/>
            <w:bottom w:w="0" w:type="dxa"/>
            <w:right w:w="0" w:type="dxa"/>
          </w:tblCellMar>
        </w:tblPrEx>
        <w:trPr>
          <w:cantSplit/>
        </w:trPr>
        <w:tc>
          <w:tcPr>
            <w:tcW w:w="8145" w:type="dxa"/>
          </w:tcPr>
          <w:p w14:paraId="5D5AF7D3">
            <w:pPr>
              <w:widowControl/>
              <w:spacing w:before="120"/>
              <w:jc w:val="center"/>
              <w:rPr>
                <w:rFonts w:hint="eastAsia" w:ascii="宋体" w:hAnsi="宋体" w:cs="宋体"/>
                <w:b/>
                <w:bCs/>
                <w:spacing w:val="20"/>
                <w:kern w:val="0"/>
                <w:sz w:val="48"/>
                <w:szCs w:val="48"/>
              </w:rPr>
            </w:pPr>
            <w:r>
              <w:rPr>
                <w:rFonts w:hint="eastAsia" w:ascii="宋体" w:hAnsi="宋体" w:cs="宋体"/>
                <w:b/>
                <w:bCs/>
                <w:spacing w:val="20"/>
                <w:kern w:val="0"/>
                <w:sz w:val="48"/>
                <w:szCs w:val="48"/>
                <w:lang w:val="en-US" w:eastAsia="zh-CN" w:bidi="en-US"/>
              </w:rPr>
              <w:t>【COPY:项目名称】</w:t>
            </w:r>
          </w:p>
        </w:tc>
      </w:tr>
      <w:tr w14:paraId="37592975">
        <w:tblPrEx>
          <w:tblCellMar>
            <w:top w:w="0" w:type="dxa"/>
            <w:left w:w="0" w:type="dxa"/>
            <w:bottom w:w="0" w:type="dxa"/>
            <w:right w:w="0" w:type="dxa"/>
          </w:tblCellMar>
        </w:tblPrEx>
        <w:trPr>
          <w:cantSplit/>
        </w:trPr>
        <w:tc>
          <w:tcPr>
            <w:tcW w:w="8145" w:type="dxa"/>
          </w:tcPr>
          <w:p w14: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w14: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bookmarkStart w:id="71" w:name="_GoBack"/>
      <w:bookmarkEnd w:id="71"/>
      <w:r>
        <w:rPr>
          <w:sz w:val="28"/>
        </w:rPr>
        <mc:AlternateContent>
          <mc: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989455" cy="1219200"/>
                        </a:xfrm>
                        <a:prstGeom prst="rect">
                          <a:avLst/>
                        </a:prstGeom>
                        <a:solidFill>
                          <a:srgbClr val="FFFFFF"/>
                        </a:solidFill>
                        <a:ln>
                          <a:noFill/>
                        </a:ln>
                      </wps:spPr>
                      <wps:txbx>
                        <w:txbxContent>
                          <w:p w14: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w14: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w14:paraId="53EF5DA1"/>
                        </w:txbxContent>
                      </wps:txbx>
                      <wps:bodyPr rot="0" vert="horz" wrap="square" lIns="91440" tIns="45720" rIns="91440" bIns="45720" anchor="t" anchorCtr="0" upright="1">
                        <a:noAutofit/>
                      </wps:bodyPr>
                    </wps:wsp>
                  </a:graphicData>
                </a:graphic>
              </wp:anchor>
            </w:drawing>
          </mc:Choice>
          <mc:Fallback>
            <w:pict>
              <v:shape id="文本框 4" o:spid="_x0000_s1026" o:spt="202" type="#_x0000_t202" style="position:absolute;left:0pt;margin-left:263.6pt;margin-top:10.55pt;height:96pt;width:156.65pt;z-index:251660288;mso-width-relative:page;mso-height-relative:page;" fillcolor="#FFFFFF" filled="t" stroked="f" coordsize="21600,21600" o: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v:fill on="t" focussize="0,0"/>
                <v:stroke on="f"/>
                <v:imagedata o:title=""/>
                <o:lock v:ext="edit" aspectratio="f"/>
                <v:textbox>
                  <w:txbxContent>
                    <w:p w14: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w14: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w14:paraId="53EF5DA1"/>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924810" cy="1551940"/>
                        </a:xfrm>
                        <a:prstGeom prst="rect">
                          <a:avLst/>
                        </a:prstGeom>
                        <a:solidFill>
                          <a:srgbClr val="FFFFFF"/>
                        </a:solidFill>
                        <a:ln>
                          <a:noFill/>
                        </a:ln>
                      </wps:spPr>
                      <wps:txbx>
                        <w:txbxContent>
                          <w:p w14: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w14: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w14: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70" w:name="sig_VERSION"/>
                            <w:bookmarkEnd w:id="70"/>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wps:txbx>
                      <wps:bodyPr rot="0" vert="horz" wrap="square" lIns="91440" tIns="45720" rIns="91440" bIns="45720" anchor="t" anchorCtr="0" upright="1">
                        <a:noAutofit/>
                      </wps:bodyPr>
                    </wps:wsp>
                  </a:graphicData>
                </a:graphic>
              </wp:anchor>
            </w:drawing>
          </mc:Choice>
          <mc:Fallback>
            <w:pict>
              <v:shape id="文本框 1" o:spid="_x0000_s1026" o:spt="202" type="#_x0000_t202" style="position:absolute;left:0pt;margin-left:18.35pt;margin-top:3.85pt;height:122.2pt;width:230.3pt;z-index:251659264;mso-width-relative:page;mso-height-relative:page;" fillcolor="#FFFFFF" filled="t" stroked="f" coordsize="21600,21600" o: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v:fill on="t" focussize="0,0"/>
                <v:stroke on="f"/>
                <v:imagedata o:title=""/>
                <o:lock v:ext="edit" aspectratio="f"/>
                <v:textbox>
                  <w:txbxContent>
                    <w:p w14: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w14: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w14: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70" w:name="sig_VERSION"/>
                      <w:bookmarkEnd w:id="70"/>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xmlns:a="http://schemas.openxmlformats.org/drawingml/2006/main">
                  <a:graphicData uri="http://schemas.microsoft.com/office/word/2010/wordprocessingShape">
                    <wps:wsp>
                      <wps:cNvSpPr txBox="1">
                        <a:spLocks noChangeArrowheads="1"/>
                      </wps:cNvSpPr>
                      <wps:spPr bwMode="auto">
                        <a:xfrm>
                          <a:off x="0" y="0"/>
                          <a:ext cx="4057015" cy="3639820"/>
                        </a:xfrm>
                        <a:prstGeom prst="rect">
                          <a:avLst/>
                        </a:prstGeom>
                        <a:solidFill>
                          <a:srgbClr val="FFFFFF"/>
                        </a:solidFill>
                        <a:ln w="9525">
                          <a:solidFill>
                            <a:srgbClr val="FFFFFF"/>
                          </a:solidFill>
                          <a:miter lim="800000"/>
                        </a:ln>
                      </wps:spPr>
                      <wps:txbx>
                        <w:txbxContent>
                          <w:p w14: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w14: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w14: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w14: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wps:txbx>
                      <wps:bodyPr rot="0" vert="horz" wrap="square" lIns="91440" tIns="45720" rIns="91440" bIns="45720" anchor="t" anchorCtr="0" upright="1">
                        <a:noAutofit/>
                      </wps:bodyPr>
                    </wps:wsp>
                  </a:graphicData>
                </a:graphic>
              </wp:anchor>
            </w:drawing>
          </mc:Choice>
          <mc:Fallback>
            <w:pict>
              <v:shape id="文本框 3" o:spid="_x0000_s1026" o:spt="202" type="#_x0000_t202" style="position:absolute;left:0pt;margin-left:58.5pt;margin-top:317pt;height:286.6pt;width:319.45pt;mso-wrap-distance-bottom:0pt;mso-wrap-distance-top:0pt;z-index:251661312;mso-width-relative:page;mso-height-relative:page;" fillcolor="#FFFFFF" filled="t" stroked="t" coordsize="21600,21600" o: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v:fill on="t" focussize="0,0"/>
                <v:stroke color="#FFFFFF" miterlimit="8" joinstyle="miter"/>
                <v:imagedata o:title=""/>
                <o:lock v:ext="edit" aspectratio="f"/>
                <v:textbox>
                  <w:txbxContent>
                    <w:p w14: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w14: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w14: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w14: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v:textbox>
                <w10:wrap type="topAndBottom"/>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891280" cy="447675"/>
                        </a:xfrm>
                        <a:prstGeom prst="rect">
                          <a:avLst/>
                        </a:prstGeom>
                        <a:noFill/>
                        <a:ln>
                          <a:noFill/>
                        </a:ln>
                      </wps:spPr>
                      <wps:txbx>
                        <w:txbxContent>
                          <w:p w14: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w14:paraId="6F4CCABA">
                            <w:pPr>
                              <w:jc w:val="center"/>
                            </w:pP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64pt;margin-top:637.5pt;height:35.25pt;width:306.4pt;z-index:251662336;mso-width-relative:page;mso-height-relative:page;" filled="f" stroked="f" coordsize="21600,21600" o: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v:fill on="f" focussize="0,0"/>
                <v:stroke on="f"/>
                <v:imagedata o:title=""/>
                <o:lock v:ext="edit" aspectratio="f"/>
                <v:textbox inset="0mm,0mm,0mm,0mm">
                  <w:txbxContent>
                    <w:p w14: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w14:paraId="6F4CCABA">
                      <w:pPr>
                        <w:jc w:val="center"/>
                      </w:pPr>
                    </w:p>
                  </w:txbxContent>
                </v:textbox>
              </v:shape>
            </w:pict>
          </mc:Fallback>
        </mc:AlternateContent>
      </w:r>
    </w:p>
    <w:p w14:paraId="6A609F38">
      <w:pPr>
        <w:tabs>
          <w:tab w:val="left" w:pos="709"/>
        </w:tabs>
      </w:pPr>
      <w:bookmarkStart w:id="0" w:name="_Toc15125"/>
    </w:p>
    <w:p w14:paraId="0722E6FD">
      <w:pPr>
        <w:tabs>
          <w:tab w:val="left" w:pos="709"/>
        </w:tabs>
      </w:pPr>
    </w:p>
    <w:p w14: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w14:paraId="16EE665A">
      <w:pPr>
        <w:spacing w:line="360" w:lineRule="auto"/>
        <w:ind w:firstLine="560"/>
        <w:jc w:val="center"/>
        <w:rPr>
          <w:rFonts w:hint="eastAsia" w:ascii="黑体" w:hAnsi="黑体" w:eastAsia="黑体" w:cs="黑体"/>
          <w:sz w:val="28"/>
          <w:szCs w:val="21"/>
        </w:rPr>
      </w:pPr>
      <w:r>
        <w:rPr>
          <w:rFonts w:hint="eastAsia" w:ascii="黑体" w:hAnsi="黑体" w:eastAsia="黑体" w:cs="黑体"/>
          <w:sz w:val="28"/>
          <w:szCs w:val="21"/>
          <w:lang w:val="en-US" w:eastAsia="zh-CN"/>
        </w:rPr>
        <w:t>【COPY:项目名称】</w:t>
      </w:r>
      <w:r>
        <w:rPr>
          <w:rFonts w:hint="eastAsia" w:ascii="黑体" w:hAnsi="黑体" w:eastAsia="黑体" w:cs="黑体"/>
          <w:sz w:val="28"/>
          <w:szCs w:val="21"/>
        </w:rPr>
        <w:t>设计方案报告</w:t>
      </w:r>
    </w:p>
    <w:p w14: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w14: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14:paraId="04359E4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宋体" w:cs="Times New Roman"/>
          <w:kern w:val="2"/>
          <w:sz w:val="24"/>
          <w:szCs w:val="24"/>
          <w:lang w:val="en-US" w:eastAsia="zh-CN" w:bidi="ar-SA"/>
          <w14:ligatures w14:val="standardContextual"/>
        </w:rPr>
        <w:t>【GEN:</w:t>
      </w:r>
      <w:r>
        <w:rPr>
          <w:rFonts w:hint="eastAsia" w:ascii="Times New Roman" w:hAnsi="Times New Roman" w:eastAsia="宋体" w:cs="Times New Roman"/>
          <w:kern w:val="2"/>
          <w:sz w:val="24"/>
          <w:szCs w:val="24"/>
          <w:lang w:val="en-US" w:eastAsia="zh-CN" w:bidi="ar-SA"/>
          <w14:ligatures w14:val="standardContextual"/>
        </w:rPr>
        <w:t>根据技术要求及本项目的项目背景，生成1大段文字描述本文件的编写目的</w:t>
      </w:r>
      <w:r>
        <w:rPr>
          <w:rFonts w:hint="default" w:ascii="Times New Roman" w:hAnsi="Times New Roman" w:eastAsia="宋体" w:cs="Times New Roman"/>
          <w:kern w:val="2"/>
          <w:sz w:val="24"/>
          <w:szCs w:val="24"/>
          <w:lang w:val="en-US" w:eastAsia="zh-CN" w:bidi="ar-SA"/>
          <w14:ligatures w14:val="standardContextual"/>
        </w:rPr>
        <w:t>】</w:t>
      </w:r>
    </w:p>
    <w:p w14: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Ref8741"/>
      <w:bookmarkStart w:id="6" w:name="_Toc22801"/>
      <w:r>
        <w:rPr>
          <w:rFonts w:hint="eastAsia" w:ascii="黑体" w:hAnsi="黑体" w:eastAsia="黑体" w:cs="黑体"/>
          <w:sz w:val="28"/>
          <w:szCs w:val="32"/>
          <w:lang w:val="en-US" w:eastAsia="zh-CN"/>
        </w:rPr>
        <w:t>建设内容</w:t>
      </w:r>
      <w:bookmarkEnd w:id="4"/>
      <w:bookmarkEnd w:id="5"/>
      <w:bookmarkEnd w:id="6"/>
    </w:p>
    <w:p w14:paraId="4279C183">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w14:ligatures w14:val="standardContextual"/>
        </w:rPr>
      </w:pPr>
      <w:r>
        <w:rPr>
          <w:rFonts w:hint="default" w:ascii="Times New Roman" w:hAnsi="Times New Roman" w:eastAsia="宋体" w:cs="Times New Roman"/>
          <w:kern w:val="2"/>
          <w:sz w:val="24"/>
          <w:szCs w:val="24"/>
          <w:lang w:val="en-US" w:eastAsia="zh-CN" w:bidi="ar-SA"/>
          <w14:ligatures w14:val="standardContextual"/>
        </w:rPr>
        <w:t>【GEN:</w:t>
      </w:r>
      <w:r>
        <w:rPr>
          <w:rFonts w:hint="eastAsia" w:ascii="Times New Roman" w:hAnsi="Times New Roman" w:eastAsia="宋体" w:cs="Times New Roman"/>
          <w:kern w:val="2"/>
          <w:sz w:val="24"/>
          <w:szCs w:val="24"/>
          <w:lang w:val="en-US" w:eastAsia="zh-CN" w:bidi="ar-SA"/>
          <w14:ligatures w14:val="standardContextual"/>
        </w:rPr>
        <w:t>根据技术要求及本项目的项目背景，生成1大段文字描述项目的建设内容</w:t>
      </w:r>
      <w:r>
        <w:rPr>
          <w:rFonts w:hint="default" w:ascii="Times New Roman" w:hAnsi="Times New Roman" w:eastAsia="宋体" w:cs="Times New Roman"/>
          <w:kern w:val="2"/>
          <w:sz w:val="24"/>
          <w:szCs w:val="24"/>
          <w:lang w:val="en-US" w:eastAsia="zh-CN" w:bidi="ar-SA"/>
          <w14:ligatures w14:val="standardContextual"/>
        </w:rPr>
        <w:t>】</w:t>
      </w:r>
    </w:p>
    <w:p w14: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13326"/>
      <w:bookmarkStart w:id="8" w:name="_Ref3127"/>
      <w:bookmarkStart w:id="9" w:name="_Ref1416"/>
      <w:bookmarkStart w:id="10" w:name="_Toc2684"/>
      <w:r>
        <w:rPr>
          <w:rFonts w:hint="eastAsia" w:ascii="黑体" w:hAnsi="黑体" w:eastAsia="黑体" w:cs="黑体"/>
          <w:sz w:val="28"/>
          <w:szCs w:val="32"/>
          <w:lang w:val="en-US" w:eastAsia="zh-CN"/>
        </w:rPr>
        <w:t>编写依据</w:t>
      </w:r>
      <w:bookmarkEnd w:id="7"/>
      <w:bookmarkEnd w:id="8"/>
      <w:bookmarkEnd w:id="9"/>
      <w:bookmarkEnd w:id="10"/>
    </w:p>
    <w:p w14: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引用规范和标准如下所示。</w:t>
      </w:r>
    </w:p>
    <w:p w14: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w14:ligatures w14:val="none"/>
        </w:rPr>
      </w:pPr>
      <w:r>
        <w:rPr>
          <w:rFonts w:hint="eastAsia" w:ascii="Times New Roman" w:hAnsi="Times New Roman" w:eastAsia="宋体" w:cs="Times New Roman"/>
          <w:color w:val="auto"/>
          <w:sz w:val="24"/>
          <w:szCs w:val="24"/>
          <w:lang w:val="en-US" w:eastAsia="zh-CN"/>
          <w14:ligatures w14: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w14: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w14:paraId="7B362AF5">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bookmarkStart w:id="11" w:name="_Hlk205283058"/>
            <w:r>
              <w:rPr>
                <w:rFonts w:hint="eastAsia" w:ascii="Times New Roman" w:hAnsi="Times New Roman" w:eastAsia="宋体" w:cs="Times New Roman"/>
                <w:b/>
                <w:bCs/>
                <w:szCs w:val="24"/>
                <w:lang w:bidi="ar"/>
                <w14:ligatures w14:val="none"/>
              </w:rPr>
              <w:t>序 号</w:t>
            </w:r>
          </w:p>
        </w:tc>
        <w:tc>
          <w:tcPr>
            <w:tcW w:w="1315" w:type="pct"/>
            <w:tcBorders>
              <w:top w:val="single" w:color="000000" w:sz="12" w:space="0"/>
              <w:left w:val="nil"/>
              <w:bottom w:val="single" w:color="000000" w:sz="12" w:space="0"/>
              <w:right w:val="single" w:color="000000" w:sz="8" w:space="0"/>
            </w:tcBorders>
            <w:vAlign w:val="center"/>
          </w:tcPr>
          <w:p w14:paraId="4D5EC2C8">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标  识</w:t>
            </w:r>
          </w:p>
        </w:tc>
        <w:tc>
          <w:tcPr>
            <w:tcW w:w="2681" w:type="pct"/>
            <w:tcBorders>
              <w:top w:val="single" w:color="000000" w:sz="12" w:space="0"/>
              <w:left w:val="nil"/>
              <w:bottom w:val="single" w:color="000000" w:sz="12" w:space="0"/>
              <w:right w:val="single" w:color="000000" w:sz="8" w:space="0"/>
            </w:tcBorders>
            <w:vAlign w:val="center"/>
          </w:tcPr>
          <w:p w14:paraId="05B1D7D9">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名  称</w:t>
            </w:r>
          </w:p>
        </w:tc>
        <w:tc>
          <w:tcPr>
            <w:tcW w:w="566" w:type="pct"/>
            <w:tcBorders>
              <w:top w:val="single" w:color="000000" w:sz="12" w:space="0"/>
              <w:left w:val="nil"/>
              <w:bottom w:val="single" w:color="000000" w:sz="12" w:space="0"/>
              <w:right w:val="single" w:color="000000" w:sz="12" w:space="0"/>
            </w:tcBorders>
            <w:vAlign w:val="center"/>
          </w:tcPr>
          <w:p w14:paraId="2A76FC5C">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版 本</w:t>
            </w:r>
          </w:p>
        </w:tc>
      </w:tr>
      <w:tr w14: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w14: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w14: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w14: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w14:ligatures w14:val="none"/>
              </w:rPr>
            </w:pPr>
            <w:r>
              <w:rPr>
                <w:rFonts w:hint="default" w:ascii="Times New Roman" w:hAnsi="Times New Roman" w:eastAsia="宋体" w:cs="Times New Roman"/>
                <w:szCs w:val="24"/>
                <w:lang w:val="en-US" w:eastAsia="zh-CN" w:bidi="ar"/>
                <w14:ligatures w14:val="none"/>
              </w:rPr>
              <w:t>【COPY:项目名称】</w:t>
            </w:r>
            <w:r>
              <w:rPr>
                <w:rFonts w:hint="eastAsia" w:ascii="Times New Roman" w:hAnsi="Times New Roman" w:eastAsia="宋体" w:cs="Times New Roman"/>
                <w:szCs w:val="24"/>
                <w:lang w:val="en-US" w:eastAsia="zh-CN" w:bidi="ar"/>
                <w14:ligatures w14:val="none"/>
              </w:rPr>
              <w:t>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w14: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w14: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w14:ligatures w14:val="none"/>
              </w:rPr>
            </w:pPr>
            <w:r>
              <w:rPr>
                <w:rFonts w:hint="eastAsia" w:ascii="Times New Roman" w:hAnsi="Times New Roman" w:eastAsia="宋体" w:cs="Times New Roman"/>
                <w:szCs w:val="24"/>
                <w:lang w:eastAsia="zh-CN" w:bidi="ar"/>
                <w14:ligatures w14:val="none"/>
              </w:rPr>
              <w:t>【COPY:项目名称】</w:t>
            </w:r>
            <w:r>
              <w:rPr>
                <w:rFonts w:hint="eastAsia" w:eastAsia="宋体" w:cs="Times New Roman"/>
                <w:szCs w:val="24"/>
                <w:lang w:val="en-US" w:eastAsia="zh-CN" w:bidi="ar"/>
                <w14:ligatures w14:val="none"/>
              </w:rPr>
              <w:t>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w14: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2017</w:t>
            </w:r>
          </w:p>
        </w:tc>
      </w:tr>
      <w:tr w14: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2021</w:t>
            </w:r>
          </w:p>
        </w:tc>
      </w:tr>
      <w:tr w14: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341D014B">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2018</w:t>
            </w:r>
          </w:p>
        </w:tc>
      </w:tr>
      <w:tr w14: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22662222">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2022</w:t>
            </w:r>
          </w:p>
        </w:tc>
      </w:tr>
      <w:tr w14: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A2BB9F">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2013</w:t>
            </w:r>
          </w:p>
        </w:tc>
      </w:tr>
      <w:tr w14: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2024</w:t>
            </w:r>
          </w:p>
        </w:tc>
      </w:tr>
      <w:tr w14: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eastAsia="宋体" w:cs="Times New Roman"/>
                <w:szCs w:val="24"/>
                <w:lang w:val="en-US" w:eastAsia="zh-CN" w:bidi="ar"/>
                <w14:ligatures w14:val="none"/>
              </w:rPr>
              <w:t>2009</w:t>
            </w:r>
          </w:p>
        </w:tc>
      </w:tr>
      <w:tr w14: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w:t>
            </w:r>
            <w:r>
              <w:rPr>
                <w:rFonts w:hint="eastAsia" w:ascii="Times New Roman" w:hAnsi="Times New Roman" w:eastAsia="宋体" w:cs="Times New Roman"/>
                <w:szCs w:val="24"/>
                <w:lang w:val="en-US" w:eastAsia="zh-CN" w:bidi="ar"/>
                <w14:ligatures w14:val="none"/>
              </w:rPr>
              <w:t xml:space="preserve"> </w:t>
            </w:r>
            <w:r>
              <w:rPr>
                <w:rFonts w:hint="eastAsia" w:ascii="Times New Roman" w:hAnsi="Times New Roman" w:eastAsia="宋体" w:cs="Times New Roman"/>
                <w:szCs w:val="24"/>
                <w:lang w:bidi="ar"/>
                <w14:ligatures w14: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GJB 5711</w:t>
            </w:r>
            <w:r>
              <w:rPr>
                <w:rFonts w:hint="eastAsia" w:eastAsia="宋体" w:cs="Times New Roman"/>
                <w:kern w:val="2"/>
                <w:sz w:val="24"/>
                <w:szCs w:val="24"/>
                <w:lang w:val="en-US" w:eastAsia="zh-CN" w:bidi="ar"/>
                <w14:ligatures w14:val="none"/>
              </w:rPr>
              <w:t>A</w:t>
            </w:r>
            <w:r>
              <w:rPr>
                <w:rFonts w:hint="eastAsia" w:ascii="Times New Roman" w:hAnsi="Times New Roman" w:eastAsia="宋体" w:cs="Times New Roman"/>
                <w:kern w:val="2"/>
                <w:sz w:val="24"/>
                <w:szCs w:val="24"/>
                <w:lang w:val="en-US" w:eastAsia="zh-CN" w:bidi="ar"/>
                <w14:ligatures w14:val="none"/>
              </w:rPr>
              <w:t>-20</w:t>
            </w:r>
            <w:r>
              <w:rPr>
                <w:rFonts w:hint="eastAsia" w:eastAsia="宋体" w:cs="Times New Roman"/>
                <w:kern w:val="2"/>
                <w:sz w:val="24"/>
                <w:szCs w:val="24"/>
                <w:lang w:val="en-US" w:eastAsia="zh-CN" w:bidi="ar"/>
                <w14:ligatures w14: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eastAsia="宋体" w:cs="Times New Roman"/>
                <w:kern w:val="2"/>
                <w:sz w:val="24"/>
                <w:szCs w:val="24"/>
                <w:lang w:val="en-US" w:eastAsia="zh-CN" w:bidi="ar"/>
                <w14:ligatures w14:val="none"/>
              </w:rPr>
              <w:t>装备</w:t>
            </w:r>
            <w:r>
              <w:rPr>
                <w:rFonts w:hint="eastAsia" w:ascii="Times New Roman" w:hAnsi="Times New Roman" w:eastAsia="宋体" w:cs="Times New Roman"/>
                <w:kern w:val="2"/>
                <w:sz w:val="24"/>
                <w:szCs w:val="24"/>
                <w:lang w:val="en-US" w:eastAsia="zh-CN" w:bidi="ar"/>
                <w14:ligatures w14: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2006</w:t>
            </w:r>
          </w:p>
        </w:tc>
      </w:tr>
      <w:tr w14: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2013</w:t>
            </w:r>
          </w:p>
        </w:tc>
      </w:tr>
      <w:tr w14: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w14:paraId="6A2B87C6">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2022</w:t>
            </w:r>
          </w:p>
        </w:tc>
      </w:tr>
      <w:tr w14: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w14:paraId="572C3AF5">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2009</w:t>
            </w:r>
          </w:p>
        </w:tc>
      </w:tr>
      <w:tr w14: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44196FD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4BFF1912">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0B7428F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宋体"/>
                <w:szCs w:val="24"/>
                <w14:ligatures w14: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2006</w:t>
            </w:r>
          </w:p>
        </w:tc>
      </w:tr>
      <w:tr w14: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023F05EF">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FA4FD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w14:paraId="6883C85F">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2E46D7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2007</w:t>
            </w:r>
          </w:p>
        </w:tc>
      </w:tr>
      <w:tr w14: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7334BF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41B9FF0C">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w14:paraId="2B2D202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2008</w:t>
            </w:r>
          </w:p>
        </w:tc>
      </w:tr>
      <w:tr w14: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ACD0A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4BA31DA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58ACD3A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2006</w:t>
            </w:r>
          </w:p>
        </w:tc>
      </w:tr>
      <w:tr w14: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8FB90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GJB</w:t>
            </w:r>
            <w:r>
              <w:rPr>
                <w:rFonts w:hint="eastAsia" w:ascii="Times New Roman" w:hAnsi="Times New Roman" w:eastAsia="宋体" w:cs="宋体"/>
                <w:kern w:val="0"/>
                <w:szCs w:val="24"/>
                <w14:ligatures w14:val="none"/>
              </w:rPr>
              <w:t>/</w:t>
            </w:r>
            <w:r>
              <w:rPr>
                <w:rFonts w:ascii="Times New Roman" w:hAnsi="Times New Roman" w:eastAsia="宋体" w:cs="宋体"/>
                <w:kern w:val="0"/>
                <w:szCs w:val="24"/>
                <w14:ligatures w14: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504FE200">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D55F0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2013</w:t>
            </w:r>
          </w:p>
        </w:tc>
      </w:tr>
      <w:tr w14: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373DDE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GJB</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w14:paraId="6DA0536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Times New Roman"/>
                <w:szCs w:val="24"/>
                <w14:ligatures w14: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650D952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1997</w:t>
            </w:r>
          </w:p>
        </w:tc>
      </w:tr>
      <w:tr w14: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20CFA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F92CF9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w14:paraId="7611C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9638AB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04A6B19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33CB7F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5FAC72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5D9B6C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52A3C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1158A0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0EE7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w14:paraId="7844A67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1994</w:t>
            </w:r>
          </w:p>
        </w:tc>
      </w:tr>
      <w:tr w14: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0DAFD8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1A4B876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01B807F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tr w14: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6C7EBF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w14:paraId="0330972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2FF78CA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2015</w:t>
            </w:r>
          </w:p>
        </w:tc>
      </w:tr>
      <w:tr w14: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53916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76564B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D6F4D9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704C35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0AE271D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328B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276D10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1DEF65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w14:paraId="09318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D0B977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w14:paraId="094BDA8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w14:paraId="443D1D1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1996</w:t>
            </w:r>
          </w:p>
        </w:tc>
      </w:tr>
      <w:tr w14: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8781FC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w14:paraId="3EF013C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5F248A6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2020</w:t>
            </w:r>
          </w:p>
        </w:tc>
      </w:tr>
      <w:tr w14: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12A9041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75864AB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w14:paraId="4B132AE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4CAA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745EFB1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879D16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2006</w:t>
            </w:r>
          </w:p>
        </w:tc>
      </w:tr>
      <w:tr w14: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AF5CEA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53A3A6E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w14:paraId="4C38116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AD5ED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279976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w14:paraId="4C8906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2013</w:t>
            </w:r>
          </w:p>
        </w:tc>
      </w:tr>
      <w:tr w14: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57A8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78277C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B8BF6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40469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140D7B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AB35B2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996C11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606BBC4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EF588E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3FECBB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67F428F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34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2008</w:t>
            </w:r>
          </w:p>
        </w:tc>
      </w:tr>
      <w:tr w14: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497E17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67E6C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51705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8357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w14:paraId="60FCC6B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03CCFBB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1995</w:t>
            </w:r>
          </w:p>
        </w:tc>
      </w:tr>
      <w:tr w14: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97A030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29D2E60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C075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bookmarkEnd w:id="11"/>
    </w:tbl>
    <w:p w14: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w14:ligatures w14:val="none"/>
        </w:rPr>
      </w:pPr>
    </w:p>
    <w:p w14: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w14: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14:paraId="4E6D7B10">
      <w:pPr>
        <w:spacing w:line="360" w:lineRule="auto"/>
        <w:ind w:firstLine="480" w:firstLineChars="200"/>
        <w:rPr>
          <w:rFonts w:hint="eastAsia"/>
          <w:lang w:val="en-US" w:eastAsia="zh-CN"/>
        </w:rPr>
      </w:pPr>
      <w:r>
        <w:rPr>
          <w:rFonts w:hint="eastAsia"/>
          <w:lang w:val="en-US" w:eastAsia="zh-CN"/>
        </w:rPr>
        <w:t>【COPY:技术要求-功能要求】</w:t>
      </w:r>
    </w:p>
    <w:p w14: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14:paraId="15A14A81">
      <w:pPr>
        <w:spacing w:line="360" w:lineRule="auto"/>
        <w:ind w:firstLine="480" w:firstLineChars="200"/>
        <w:rPr>
          <w:rFonts w:hint="eastAsia"/>
          <w:lang w:val="en-US" w:eastAsia="zh-CN"/>
        </w:rPr>
      </w:pPr>
      <w:r>
        <w:rPr>
          <w:rFonts w:hint="eastAsia" w:ascii="Times New Roman" w:eastAsia="宋体"/>
          <w:lang w:val="en-US" w:eastAsia="zh-CN"/>
        </w:rPr>
        <w:t>【COPY:技术要求-</w:t>
      </w:r>
      <w:r>
        <w:rPr>
          <w:rFonts w:hint="eastAsia"/>
          <w:lang w:val="en-US" w:eastAsia="zh-CN"/>
        </w:rPr>
        <w:t>性能</w:t>
      </w:r>
      <w:r>
        <w:rPr>
          <w:rFonts w:hint="eastAsia" w:ascii="Times New Roman" w:eastAsia="宋体"/>
          <w:lang w:val="en-US" w:eastAsia="zh-CN"/>
        </w:rPr>
        <w:t>要求】</w:t>
      </w:r>
    </w:p>
    <w:p w14: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14:paraId="4250E55C">
      <w:pPr>
        <w:spacing w:line="360" w:lineRule="auto"/>
        <w:ind w:firstLine="480" w:firstLineChars="200"/>
        <w:rPr>
          <w:rFonts w:hint="eastAsia"/>
          <w:lang w:val="en-US" w:eastAsia="zh-CN"/>
        </w:rPr>
      </w:pPr>
      <w:r>
        <w:rPr>
          <w:rFonts w:hint="eastAsia" w:ascii="Times New Roman" w:eastAsia="宋体"/>
          <w:lang w:val="en-US" w:eastAsia="zh-CN"/>
        </w:rPr>
        <w:t>【COPY:技术要求-通用质量特性要求</w:t>
      </w:r>
      <w:r>
        <w:rPr>
          <w:rFonts w:hint="eastAsia"/>
          <w:lang w:val="en-US" w:eastAsia="zh-CN"/>
        </w:rPr>
        <w:t>/非功能性要求/六性要求</w:t>
      </w:r>
      <w:r>
        <w:rPr>
          <w:rFonts w:hint="eastAsia" w:ascii="Times New Roman" w:eastAsia="宋体"/>
          <w:lang w:val="en-US" w:eastAsia="zh-CN"/>
        </w:rPr>
        <w:t>】</w:t>
      </w:r>
    </w:p>
    <w:p w14: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w14: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w14: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14:paraId="0586BDD8">
      <w:pPr>
        <w:numPr>
          <w:numId w:val="0"/>
        </w:numPr>
        <w:adjustRightInd w:val="0"/>
        <w:spacing w:line="360" w:lineRule="auto"/>
        <w:ind w:leftChars="200"/>
        <w:rPr>
          <w:szCs w:val="28"/>
        </w:rPr>
      </w:pPr>
      <w:r>
        <w:rPr>
          <w:rFonts w:hint="default"/>
          <w:szCs w:val="28"/>
          <w:lang w:val="en-US" w:eastAsia="zh-CN"/>
        </w:rPr>
        <w:t>【GEN:总体架构设计</w:t>
      </w:r>
      <w:r>
        <w:rPr>
          <w:rFonts w:hint="eastAsia"/>
          <w:szCs w:val="28"/>
          <w:lang w:val="en-US" w:eastAsia="zh-CN"/>
        </w:rPr>
        <w:t>（根据技术要求，采用大段文字的形式描述系统总体架构设计）</w:t>
      </w:r>
      <w:r>
        <w:rPr>
          <w:rFonts w:hint="default"/>
          <w:szCs w:val="28"/>
          <w:lang w:val="en-US" w:eastAsia="zh-CN"/>
        </w:rPr>
        <w:t>】</w:t>
      </w:r>
    </w:p>
    <w:p w14:paraId="6BB68F78">
      <w:pPr>
        <w:spacing w:line="360" w:lineRule="auto"/>
        <w:ind w:firstLine="480" w:firstLineChars="200"/>
        <w:rPr>
          <w:rFonts w:hint="eastAsia"/>
        </w:rPr>
      </w:pPr>
      <w:r>
        <w:rPr>
          <w:rFonts w:hint="eastAsia"/>
        </w:rPr>
        <w:t>系统架构如下图所示：</w:t>
      </w:r>
    </w:p>
    <w:p w14:paraId="238B6481">
      <w:pPr>
        <w:spacing w:line="360" w:lineRule="auto"/>
        <w:jc w:val="center"/>
        <w:rPr>
          <w:rFonts w:hint="eastAsia"/>
        </w:rPr>
      </w:pPr>
      <w:r>
        <w:rPr>
          <w:rFonts w:hint="eastAsia"/>
          <w:lang w:val="en-US" w:eastAsia="zh-CN"/>
        </w:rPr>
        <w:t>【GEN:总体架构图】</w:t>
      </w:r>
    </w:p>
    <w:p w14: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14:paraId="071E4F42">
      <w:pPr>
        <w:spacing w:line="360" w:lineRule="auto"/>
        <w:ind w:firstLine="480" w:firstLineChars="200"/>
        <w:rPr>
          <w:rFonts w:hint="eastAsia"/>
          <w:lang w:val="en-US" w:eastAsia="zh-CN"/>
        </w:rPr>
      </w:pPr>
      <w:r>
        <w:rPr>
          <w:rFonts w:hint="eastAsia"/>
          <w:lang w:val="en-US" w:eastAsia="zh-CN"/>
        </w:rPr>
        <w:t>【GEN:用大段文字描述架构图】</w:t>
      </w:r>
    </w:p>
    <w:p w14:paraId="17AE02FB">
      <w:pPr>
        <w:spacing w:line="360" w:lineRule="auto"/>
        <w:ind w:firstLine="480" w:firstLineChars="200"/>
        <w:rPr>
          <w:rFonts w:hint="eastAsia"/>
          <w:lang w:val="en-US" w:eastAsia="zh-CN"/>
        </w:rPr>
      </w:pPr>
    </w:p>
    <w:p w14: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14:paraId="730A7120">
      <w:pPr>
        <w:spacing w:line="360" w:lineRule="auto"/>
        <w:ind w:firstLine="480" w:firstLineChars="200"/>
        <w:rPr>
          <w:rFonts w:hint="eastAsia"/>
          <w:lang w:val="en-US" w:eastAsia="zh-CN"/>
        </w:rPr>
      </w:pPr>
      <w:r>
        <w:rPr>
          <w:rFonts w:hint="eastAsia"/>
          <w:lang w:val="en-US" w:eastAsia="zh-CN"/>
        </w:rPr>
        <w:t>【GEN:用大段文字描述前述架构的设计原则】</w:t>
      </w:r>
    </w:p>
    <w:p w14: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14:paraId="0C081D19">
      <w:pPr>
        <w:spacing w:line="360" w:lineRule="auto"/>
        <w:ind w:firstLine="480" w:firstLineChars="200"/>
        <w:rPr>
          <w:rFonts w:hint="eastAsia"/>
          <w:lang w:val="en-US" w:eastAsia="zh-CN"/>
        </w:rPr>
      </w:pPr>
      <w:r>
        <w:rPr>
          <w:rFonts w:hint="eastAsia"/>
          <w:lang w:val="en-US" w:eastAsia="zh-CN"/>
        </w:rPr>
        <w:t>【GEN:根据技术要求，设计软件系统部署架构，并用大段文字描述】</w:t>
      </w:r>
    </w:p>
    <w:p w14: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14:paraId="736A25D3">
      <w:pPr>
        <w:pStyle w:val="3"/>
        <w:numPr>
          <w:numId w:val="0"/>
        </w:numPr>
        <w:bidi w:val="0"/>
        <w:ind w:leftChars="200"/>
        <w:rPr>
          <w:rFonts w:hint="eastAsia"/>
          <w:lang w:val="en-US" w:eastAsia="zh-CN"/>
        </w:rPr>
      </w:pPr>
      <w:r>
        <w:rPr>
          <w:rFonts w:hint="eastAsia"/>
          <w:lang w:eastAsia="zh-CN"/>
        </w:rPr>
        <w:t>【</w:t>
      </w:r>
      <w:r>
        <w:rPr>
          <w:rFonts w:hint="eastAsia"/>
          <w:lang w:val="en-US" w:eastAsia="zh-CN"/>
        </w:rPr>
        <w:t>功能设计章节需要一一对应技术要求中的功能需求逐条回答，比如功能1对应功能点1，功能2对应功能点2……。（示例）装备体系态势展示功能</w:t>
      </w:r>
    </w:p>
    <w:p w14:paraId="0975E389">
      <w:pPr>
        <w:pStyle w:val="3"/>
        <w:numPr>
          <w:numId w:val="0"/>
        </w:numPr>
        <w:bidi w:val="0"/>
        <w:ind w:leftChars="200"/>
        <w:rPr>
          <w:rFonts w:hint="eastAsia" w:eastAsia="宋体"/>
          <w:lang w:eastAsia="zh-CN"/>
        </w:rPr>
      </w:pPr>
      <w:r>
        <w:rPr>
          <w:rFonts w:hint="eastAsia"/>
          <w:lang w:val="en-US" w:eastAsia="zh-CN"/>
        </w:rPr>
        <w:t>为举例，可以参考</w:t>
      </w:r>
      <w:r>
        <w:rPr>
          <w:rFonts w:hint="eastAsia"/>
          <w:lang w:eastAsia="zh-CN"/>
        </w:rPr>
        <w:t>】</w:t>
      </w:r>
    </w:p>
    <w:p w14:paraId="0B295DE0">
      <w:pPr>
        <w:keepNext/>
        <w:keepLines/>
        <w:numPr>
          <w:ilvl w:val="2"/>
          <w:numId w:val="11"/>
        </w:numPr>
        <w:tabs>
          <w:tab w:val="left" w:pos="0"/>
        </w:tabs>
        <w:spacing w:line="360" w:lineRule="auto"/>
        <w:outlineLvl w:val="2"/>
        <w:rPr>
          <w:rFonts w:eastAsia="黑体"/>
          <w:bCs/>
          <w:szCs w:val="32"/>
        </w:rPr>
      </w:pPr>
      <w:r>
        <w:rPr>
          <w:rFonts w:hint="eastAsia" w:eastAsia="黑体"/>
          <w:bCs/>
          <w:szCs w:val="32"/>
          <w:lang w:val="en-US" w:eastAsia="zh-CN"/>
        </w:rPr>
        <w:t>功能1</w:t>
      </w:r>
    </w:p>
    <w:p w14:paraId="482B0BED">
      <w:pPr>
        <w:spacing w:line="360" w:lineRule="auto"/>
        <w:ind w:firstLine="480" w:firstLineChars="200"/>
        <w:rPr>
          <w:rFonts w:hint="eastAsia"/>
          <w:lang w:val="en-US" w:eastAsia="zh-CN"/>
        </w:rPr>
      </w:pPr>
      <w:r>
        <w:rPr>
          <w:rFonts w:hint="eastAsia"/>
          <w:lang w:val="en-US" w:eastAsia="zh-CN"/>
        </w:rPr>
        <w:t>【GEN:结合对应的功能要求，设计相应的功能。用大段文字的方式描述如何实现该功能】</w:t>
      </w:r>
    </w:p>
    <w:p w14:paraId="2D4DCBB3">
      <w:pPr>
        <w:spacing w:line="360" w:lineRule="auto"/>
        <w:ind w:firstLine="480" w:firstLineChars="200"/>
        <w:rPr>
          <w:rFonts w:hint="eastAsia"/>
          <w:lang w:val="en-US" w:eastAsia="zh-CN"/>
        </w:rPr>
      </w:pPr>
      <w:r>
        <w:rPr>
          <w:rFonts w:hint="eastAsia"/>
          <w:lang w:val="en-US" w:eastAsia="zh-CN"/>
        </w:rPr>
        <w:t>该功能流程图如下：</w:t>
      </w:r>
    </w:p>
    <w:p w14:paraId="4A15C4CF">
      <w:pPr>
        <w:spacing w:line="360" w:lineRule="auto"/>
        <w:jc w:val="center"/>
        <w:rPr>
          <w:rFonts w:hint="eastAsia"/>
        </w:rPr>
      </w:pPr>
      <w:r>
        <w:rPr>
          <w:rFonts w:hint="eastAsia" w:ascii="Times New Roman" w:eastAsia="宋体"/>
          <w:lang w:val="en-US" w:eastAsia="zh-CN"/>
        </w:rPr>
        <w:t>【GEN:</w:t>
      </w:r>
      <w:r>
        <w:rPr>
          <w:rFonts w:hint="eastAsia"/>
          <w:lang w:val="en-US" w:eastAsia="zh-CN"/>
        </w:rPr>
        <w:t>功能1流程图</w:t>
      </w:r>
      <w:r>
        <w:rPr>
          <w:rFonts w:hint="eastAsia" w:ascii="Times New Roman" w:eastAsia="宋体"/>
          <w:lang w:val="en-US" w:eastAsia="zh-CN"/>
        </w:rPr>
        <w:t>】</w:t>
      </w:r>
    </w:p>
    <w:p w14:paraId="652EDF9B">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功能1流程</w:t>
      </w:r>
      <w:r>
        <w:rPr>
          <w:rFonts w:hint="eastAsia" w:ascii="黑体" w:hAnsi="黑体" w:eastAsia="黑体" w:cs="黑体"/>
          <w:szCs w:val="24"/>
        </w:rPr>
        <w:t>图</w:t>
      </w:r>
    </w:p>
    <w:p w14:paraId="17D14898">
      <w:pPr>
        <w:spacing w:line="360" w:lineRule="auto"/>
        <w:ind w:firstLine="480" w:firstLineChars="200"/>
        <w:rPr>
          <w:rFonts w:hint="eastAsia"/>
        </w:rPr>
      </w:pPr>
    </w:p>
    <w:p w14:paraId="6330D0B0">
      <w:pPr>
        <w:keepNext/>
        <w:keepLines/>
        <w:numPr>
          <w:ilvl w:val="2"/>
          <w:numId w:val="11"/>
        </w:numPr>
        <w:tabs>
          <w:tab w:val="left" w:pos="0"/>
        </w:tabs>
        <w:spacing w:line="360" w:lineRule="auto"/>
        <w:ind w:left="720" w:hanging="720"/>
        <w:outlineLvl w:val="2"/>
        <w:rPr>
          <w:rFonts w:eastAsia="黑体"/>
          <w:bCs/>
          <w:szCs w:val="32"/>
        </w:rPr>
      </w:pPr>
      <w:r>
        <w:rPr>
          <w:rFonts w:hint="eastAsia" w:eastAsia="黑体"/>
          <w:bCs/>
          <w:szCs w:val="32"/>
          <w:lang w:val="en-US" w:eastAsia="zh-CN"/>
        </w:rPr>
        <w:t>功能2</w:t>
      </w:r>
    </w:p>
    <w:p w14:paraId="5D113A20">
      <w:pPr>
        <w:spacing w:line="360" w:lineRule="auto"/>
        <w:ind w:firstLine="480" w:firstLineChars="200"/>
        <w:rPr>
          <w:rFonts w:hint="eastAsia" w:ascii="Times New Roman" w:eastAsia="宋体"/>
          <w:lang w:val="en-US" w:eastAsia="zh-CN"/>
        </w:rPr>
      </w:pPr>
      <w:r>
        <w:rPr>
          <w:rFonts w:hint="eastAsia" w:ascii="Times New Roman" w:eastAsia="宋体"/>
          <w:lang w:val="en-US" w:eastAsia="zh-CN"/>
        </w:rPr>
        <w:t>【GEN:结合对应的功能要求，设计相应的功能。用大段文字的方式描述如何实现该功能】</w:t>
      </w:r>
    </w:p>
    <w:p w14:paraId="1790173E">
      <w:pPr>
        <w:spacing w:line="360" w:lineRule="auto"/>
        <w:ind w:firstLine="480" w:firstLineChars="200"/>
        <w:rPr>
          <w:rFonts w:hint="eastAsia" w:ascii="Times New Roman" w:eastAsia="宋体"/>
          <w:lang w:val="en-US" w:eastAsia="zh-CN"/>
        </w:rPr>
      </w:pPr>
      <w:r>
        <w:rPr>
          <w:rFonts w:hint="eastAsia" w:ascii="Times New Roman" w:eastAsia="宋体"/>
          <w:lang w:val="en-US" w:eastAsia="zh-CN"/>
        </w:rPr>
        <w:t>该功能流程图如下：</w:t>
      </w:r>
    </w:p>
    <w:p w14:paraId="1A9098B0">
      <w:pPr>
        <w:spacing w:line="360" w:lineRule="auto"/>
        <w:jc w:val="center"/>
        <w:rPr>
          <w:rFonts w:hint="eastAsia"/>
        </w:rPr>
      </w:pPr>
      <w:r>
        <w:rPr>
          <w:rFonts w:hint="eastAsia" w:ascii="Times New Roman" w:eastAsia="宋体"/>
          <w:lang w:val="en-US" w:eastAsia="zh-CN"/>
        </w:rPr>
        <w:t>【GEN:功能</w:t>
      </w:r>
      <w:r>
        <w:rPr>
          <w:rFonts w:hint="eastAsia"/>
          <w:lang w:val="en-US" w:eastAsia="zh-CN"/>
        </w:rPr>
        <w:t>2</w:t>
      </w:r>
      <w:r>
        <w:rPr>
          <w:rFonts w:hint="eastAsia" w:ascii="Times New Roman" w:eastAsia="宋体"/>
          <w:lang w:val="en-US" w:eastAsia="zh-CN"/>
        </w:rPr>
        <w:t>流程图】</w:t>
      </w:r>
    </w:p>
    <w:p w14:paraId="1644F35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功能2流程</w:t>
      </w:r>
      <w:r>
        <w:rPr>
          <w:rFonts w:hint="eastAsia" w:ascii="黑体" w:hAnsi="黑体" w:eastAsia="黑体" w:cs="黑体"/>
          <w:szCs w:val="24"/>
        </w:rPr>
        <w:t>图</w:t>
      </w:r>
    </w:p>
    <w:p w14:paraId="27E6D81B">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（示例）装备体系态势展示功能</w:t>
      </w:r>
    </w:p>
    <w:p w14:paraId="14D34DE8">
      <w:pPr>
        <w:spacing w:line="360" w:lineRule="auto"/>
        <w:ind w:firstLine="480" w:firstLineChars="200"/>
        <w:rPr>
          <w:rFonts w:hint="eastAsia"/>
          <w:lang w:val="en-US" w:eastAsia="zh-CN"/>
        </w:rPr>
      </w:pPr>
      <w:r>
        <w:rPr>
          <w:rFonts w:hint="eastAsia"/>
          <w:lang w:val="en-US" w:eastAsia="zh-CN"/>
        </w:rPr>
        <w:t>装备体系态势展示功能支持展示我J现役ZB、在研ZB的DY体系、数量、编配部署、战技指标、研制单位、配套关系等；支持展示外JZB数量、部署、战技指标等，是ZB资料库桌面端软件的核心数据呈现底座。该功能模块主要依托底层结构化数据仓库，全景式呈现我方现役及在研装备的DY体系架构、数量规模、空间编配部署拓扑、核心战技指标基线、主导研制单位元数据及深度的上下游配套逻辑链条。同时，该模块针对外部目标装备，集中聚合展示其规模数量、阵地部署态势以及关键战技指标参数，从而打破单一装备的数据孤岛，在桌面端构建起内外对应、逻辑严密的全局装备结构化物理与逻辑图谱。</w:t>
      </w:r>
    </w:p>
    <w:p w14:paraId="5001F501">
      <w:pPr>
        <w:spacing w:line="360" w:lineRule="auto"/>
        <w:ind w:firstLine="480" w:firstLineChars="200"/>
        <w:rPr>
          <w:rFonts w:hint="eastAsia"/>
          <w:lang w:val="en-US" w:eastAsia="zh-CN"/>
        </w:rPr>
      </w:pPr>
      <w:r>
        <w:rPr>
          <w:rFonts w:hint="eastAsia"/>
          <w:lang w:val="en-US" w:eastAsia="zh-CN"/>
        </w:rPr>
        <w:t>该功能模块的主要作用在于将离散的、多维度的装备底层海量数据转化为直观的态势语言。它为各级机关与业务参谋人员提供了一个具备高度下钻与上卷能力的宏观全局视角，使其能够迅速掌握特定战略方向或特定体系的装备实力底数。通过图形化映射复杂的编配关系与研制配套链路，该功能直接辅助业务人员快速理清异构装备间的横向协同与纵向继承关联，为后续的战备规划设计、战技效能对比评估及顶层资源调配提供最基础、最客观的态势认知基准。</w:t>
      </w:r>
    </w:p>
    <w:p w14:paraId="6002D62E">
      <w:pPr>
        <w:spacing w:line="360" w:lineRule="auto"/>
        <w:ind w:firstLine="480" w:firstLineChars="200"/>
        <w:rPr>
          <w:rFonts w:hint="eastAsia"/>
          <w:lang w:val="en-US" w:eastAsia="zh-CN"/>
        </w:rPr>
      </w:pPr>
      <w:r>
        <w:rPr>
          <w:rFonts w:hint="eastAsia"/>
          <w:lang w:val="en-US" w:eastAsia="zh-CN"/>
        </w:rPr>
        <w:t>装备体系态势展示不仅是整个桌面端软件系统的视觉门户与数据基石，更是履行高层级穿透式监管与推进装备体系化建设的先决条件。在现代体系级对抗背景下，单件型号装备的性能指标必须置于整体网络拓扑中方能体现其真实的作战与保障效能。该功能的缺失将直接导致底层基础数据无法有效聚合升维，进而使得高层指挥研判缺乏实时的全局性数据支撑。因此，构建高可用、高保真的装备体系态势图谱，对于提升业务部门装备体系化管理水平、缩短首长数据获取与决策链路、增强体系对抗准备质量具有不可替代的基础性战略价值。</w:t>
      </w:r>
    </w:p>
    <w:p w14:paraId="76647581">
      <w:pPr>
        <w:spacing w:line="360" w:lineRule="auto"/>
        <w:ind w:firstLine="480" w:firstLineChars="200"/>
        <w:rPr>
          <w:rFonts w:hint="eastAsia"/>
          <w:lang w:val="en-US" w:eastAsia="zh-CN"/>
        </w:rPr>
      </w:pPr>
      <w:r>
        <w:rPr>
          <w:rFonts w:hint="eastAsia"/>
          <w:lang w:val="en-US" w:eastAsia="zh-CN"/>
        </w:rPr>
        <w:t>在技术实现层面，本功能模块严格依托全栈国产化运行环境进行架构设计。底层基于金仓数据库（V8R3）构建涵盖装备实体属性与多维关联关系的混合型数据表，利用深度的B+树索引机制优化百万级装备实体的空间与属性交叉检索效率。业务逻辑层采用图计算架构思想建立装备配套关系模型，通过优化的递归查询与路径遍历算法，实时解析装备节点间的DY体系归属与上下游配套树。前端表现层则引入高并发二维图表渲染引擎与轻量级GIS（地理信息系统）矢量组件，将抽象的结构化数据精准映射为拓扑关系图、地域分布热力图及战技指标数据栅格，并通过局部异步数据流加载技术，确保高密度节点拓扑图谱在桌面终端的渲染与刷新延迟严格控制在5秒以内。</w:t>
      </w:r>
    </w:p>
    <w:p w14:paraId="415CB645">
      <w:pPr>
        <w:spacing w:line="360" w:lineRule="auto"/>
        <w:ind w:firstLine="480" w:firstLineChars="200"/>
        <w:rPr>
          <w:rFonts w:hint="eastAsia"/>
          <w:lang w:val="en-US" w:eastAsia="zh-CN"/>
        </w:rPr>
      </w:pPr>
      <w:r>
        <w:rPr>
          <w:rFonts w:hint="eastAsia"/>
          <w:lang w:val="en-US" w:eastAsia="zh-CN"/>
        </w:rPr>
        <w:t>装备态势数据的流转遵循严密的标准数据采集、逻辑加工与呈现闭环机制。全域装备的基础基线数据（包含编制信息、技术参数、地理空间坐标等）首先经由系统内部的数据采编模块或外部情报对接接口实现标准化接入，并完成持久化落盘操作，存储至底层国产关系型数据库中。当桌面端作业人员发起特定条件态势查看指令时，中间层应用服务接收该请求，并向数据库下发复杂的跨表联查或拓扑遍历SQL语句。提取出的基础裸数据在服务端内存中经过中间件的数据清洗降噪、空间坐标系转换与宏观层级聚合运算，被重新封装为包含标准节点关系、空间坐标矩阵与统计基准阈值的序列化数据包。最终，该处理完毕的数据包通过安全局域网链路推送至桌面客户端，由本地UI渲染引擎进行反序列化解析并驱动相应可视化组件，完成从底层数字电平到最终直观可视态势图谱的完整链路映射。</w:t>
      </w:r>
    </w:p>
    <w:p w14:paraId="5A7C1617">
      <w:pPr>
        <w:spacing w:line="360" w:lineRule="auto"/>
        <w:ind w:firstLine="480" w:firstLineChars="200"/>
        <w:rPr>
          <w:rFonts w:hint="eastAsia"/>
          <w:lang w:val="en-US" w:eastAsia="zh-CN"/>
        </w:rPr>
      </w:pPr>
      <w:r>
        <w:rPr>
          <w:rFonts w:hint="eastAsia"/>
          <w:lang w:val="en-US" w:eastAsia="zh-CN"/>
        </w:rPr>
        <w:t>该功能流程图如下：</w:t>
      </w:r>
    </w:p>
    <w:p w14:paraId="0163D2A9">
      <w:pPr>
        <w:spacing w:line="360" w:lineRule="auto"/>
        <w:ind w:firstLine="480" w:firstLineChars="200"/>
        <w:rPr>
          <w:rFonts w:hint="eastAsia"/>
          <w:lang w:val="en-US" w:eastAsia="zh-CN"/>
        </w:rPr>
      </w:pPr>
      <w:r>
        <w:rPr>
          <w:rFonts w:hint="eastAsia"/>
          <w:lang w:val="en-US" w:eastAsia="zh-CN"/>
        </w:rPr>
        <w:drawing>
          <wp:inline distT="0" distB="0" distL="114300" distR="114300">
            <wp:extent cx="5097780" cy="3856990"/>
            <wp:effectExtent l="0" t="0" r="7620" b="10160"/>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8"/>
                    <a:stretch>
                      <a:fillRect/>
                    </a:stretch>
                  </pic:blipFill>
                  <pic:spPr>
                    <a:xfrm>
                      <a:off x="0" y="0"/>
                      <a:ext cx="5097780" cy="3856990"/>
                    </a:xfrm>
                    <a:prstGeom prst="rect">
                      <a:avLst/>
                    </a:prstGeom>
                    <a:noFill/>
                    <a:ln w="9525">
                      <a:noFill/>
                    </a:ln>
                  </pic:spPr>
                </pic:pic>
              </a:graphicData>
            </a:graphic>
          </wp:inline>
        </w:drawing>
      </w:r>
    </w:p>
    <w:p w14:paraId="56C0C43A">
      <w:pPr>
        <w:numPr>
          <w:ilvl w:val="0"/>
          <w:numId w:val="14"/>
        </w:numPr>
        <w:spacing w:line="360" w:lineRule="auto"/>
        <w:ind w:left="622" w:hanging="621" w:hangingChars="259"/>
        <w:jc w:val="center"/>
        <w:rPr>
          <w:rFonts w:hint="eastAsia" w:ascii="黑体" w:hAnsi="黑体" w:eastAsia="黑体" w:cs="黑体"/>
          <w:szCs w:val="24"/>
          <w:lang w:val="en-US" w:eastAsia="zh-CN"/>
        </w:rPr>
      </w:pPr>
      <w:r>
        <w:rPr>
          <w:rFonts w:hint="eastAsia" w:ascii="黑体" w:hAnsi="黑体" w:eastAsia="黑体" w:cs="黑体"/>
          <w:szCs w:val="24"/>
          <w:lang w:val="en-US" w:eastAsia="zh-CN"/>
        </w:rPr>
        <w:t>装备体系态势展示流程图</w:t>
      </w:r>
    </w:p>
    <w:p w14: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p w14:paraId="7A05D4C5">
      <w:pPr>
        <w:pStyle w:val="3"/>
        <w:numPr>
          <w:ilvl w:val="0"/>
          <w:numId w:val="0"/>
        </w:numPr>
        <w:bidi w:val="0"/>
        <w:ind w:leftChars="200"/>
        <w:rPr>
          <w:rFonts w:hint="eastAsia" w:ascii="黑体" w:hAnsi="黑体" w:eastAsia="黑体" w:cs="黑体"/>
          <w:sz w:val="28"/>
          <w:szCs w:val="32"/>
        </w:rPr>
      </w:pPr>
      <w:r>
        <w:rPr>
          <w:rFonts w:hint="eastAsia"/>
          <w:lang w:eastAsia="zh-CN"/>
        </w:rPr>
        <w:t>【</w:t>
      </w:r>
      <w:r>
        <w:rPr>
          <w:rFonts w:hint="eastAsia"/>
          <w:lang w:val="en-US" w:eastAsia="zh-CN"/>
        </w:rPr>
        <w:t>性能设计章节需要一一对应技术要求中的性能需求逐条回答</w:t>
      </w:r>
      <w:r>
        <w:rPr>
          <w:rFonts w:hint="eastAsia"/>
          <w:lang w:eastAsia="zh-CN"/>
        </w:rPr>
        <w:t>】</w:t>
      </w:r>
    </w:p>
    <w:p w14:paraId="29318CA3">
      <w:pPr>
        <w:spacing w:line="360" w:lineRule="auto"/>
        <w:ind w:firstLine="480" w:firstLineChars="200"/>
        <w:rPr>
          <w:rFonts w:hint="eastAsia"/>
        </w:rPr>
      </w:pPr>
    </w:p>
    <w:p w14: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14:paraId="732E1BBE">
      <w:pPr>
        <w:pStyle w:val="3"/>
        <w:numPr>
          <w:ilvl w:val="0"/>
          <w:numId w:val="0"/>
        </w:numPr>
        <w:bidi w:val="0"/>
        <w:ind w:leftChars="200"/>
        <w:rPr>
          <w:rFonts w:hint="eastAsia" w:ascii="黑体" w:hAnsi="黑体" w:eastAsia="黑体" w:cs="黑体"/>
          <w:sz w:val="28"/>
          <w:szCs w:val="32"/>
        </w:rPr>
      </w:pPr>
      <w:r>
        <w:rPr>
          <w:rFonts w:hint="eastAsia"/>
          <w:lang w:eastAsia="zh-CN"/>
        </w:rPr>
        <w:t>【</w:t>
      </w:r>
      <w:r>
        <w:rPr>
          <w:rFonts w:hint="eastAsia"/>
          <w:lang w:val="en-US" w:eastAsia="zh-CN"/>
        </w:rPr>
        <w:t>性能设计章节需要一一对应技术要求中的性能需求逐条回答</w:t>
      </w:r>
      <w:r>
        <w:rPr>
          <w:rFonts w:hint="eastAsia"/>
          <w:lang w:eastAsia="zh-CN"/>
        </w:rPr>
        <w:t>】</w:t>
      </w:r>
    </w:p>
    <w:p w14: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14:paraId="712E5FA7">
      <w:pPr>
        <w:adjustRightInd w:val="0"/>
        <w:spacing w:line="360" w:lineRule="auto"/>
        <w:ind w:firstLine="420"/>
        <w:rPr>
          <w:rFonts w:ascii="Helvetica" w:hAnsi="Helvetica" w:eastAsia="Helvetica" w:cs="Helvetica"/>
          <w:color w:val="707070"/>
          <w:sz w:val="21"/>
          <w:szCs w:val="21"/>
          <w:shd w:val="clear" w:color="auto" w:fill="F5F6F8"/>
        </w:rPr>
      </w:pPr>
    </w:p>
    <w:p w14: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14:paraId="78B9905F">
      <w:pPr>
        <w:adjustRightInd w:val="0"/>
        <w:spacing w:line="360" w:lineRule="auto"/>
        <w:ind w:firstLine="420"/>
        <w:rPr>
          <w:rFonts w:ascii="Helvetica" w:hAnsi="Helvetica" w:eastAsia="Helvetica" w:cs="Helvetica"/>
          <w:color w:val="707070"/>
          <w:sz w:val="21"/>
          <w:szCs w:val="21"/>
          <w:shd w:val="clear" w:color="auto" w:fill="F5F6F8"/>
        </w:rPr>
      </w:pPr>
    </w:p>
    <w:p w14: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14:paraId="700EC482">
      <w:pPr>
        <w:adjustRightInd w:val="0"/>
        <w:spacing w:line="360" w:lineRule="auto"/>
        <w:ind w:firstLine="480" w:firstLineChars="200"/>
        <w:rPr>
          <w:szCs w:val="28"/>
        </w:rPr>
      </w:pPr>
    </w:p>
    <w:p w14: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11462"/>
      <w:bookmarkStart w:id="19" w:name="_Toc9876"/>
      <w:r>
        <w:rPr>
          <w:rFonts w:hint="eastAsia" w:ascii="黑体" w:hAnsi="黑体" w:eastAsia="黑体" w:cs="黑体"/>
          <w:sz w:val="28"/>
          <w:szCs w:val="32"/>
          <w:lang w:val="en-US" w:eastAsia="zh-CN"/>
        </w:rPr>
        <w:t>通用质量特性设计</w:t>
      </w:r>
      <w:bookmarkEnd w:id="17"/>
    </w:p>
    <w:p w14: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14:paraId="04A236C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14:paraId="3A90ED45">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p>
    <w:p w14: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14:paraId="6A97AA9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14:paraId="6F03977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14:paraId="37CCEE7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14:paraId="1BD0FB6E">
      <w:pPr>
        <w:spacing w:line="360" w:lineRule="auto"/>
        <w:ind w:firstLine="480" w:firstLineChars="200"/>
      </w:pPr>
    </w:p>
    <w:p w14: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14:paraId="44BFF087">
      <w:pPr>
        <w:widowControl/>
        <w:spacing w:line="360" w:lineRule="auto"/>
        <w:ind w:firstLine="480" w:firstLineChars="200"/>
        <w:jc w:val="left"/>
        <w:textAlignment w:val="center"/>
        <w:rPr>
          <w:rFonts w:hint="eastAsia"/>
          <w:szCs w:val="18"/>
        </w:rPr>
      </w:pPr>
    </w:p>
    <w:p w14: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14: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14:paraId="6144050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26513"/>
      <w:bookmarkStart w:id="30" w:name="_Toc19435"/>
      <w:r>
        <w:rPr>
          <w:rFonts w:hint="eastAsia" w:ascii="黑体" w:hAnsi="黑体" w:eastAsia="黑体" w:cs="黑体"/>
          <w:sz w:val="28"/>
          <w:szCs w:val="32"/>
          <w:lang w:val="en-US" w:eastAsia="zh-CN"/>
        </w:rPr>
        <w:t>质量保证措施</w:t>
      </w:r>
      <w:bookmarkEnd w:id="29"/>
      <w:bookmarkEnd w:id="30"/>
    </w:p>
    <w:p w14:paraId="56A216E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我方依据GJB 9001C-2017《质量管理体系要求》建立并有效运行质量管理体系，本技术要求涉及的软件在我方获准的装备承制范围和武器装备科研生产许可项目/产品范围内。我方在项目进行中涉及的装备承制范围变化、组织机构变化、资格审查机构变化、产品技术状态变更时，保证在5个工作日内书面通知甲方。</w:t>
      </w:r>
    </w:p>
    <w:p w14:paraId="4466AA2A">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质量管理体系建设</w:t>
      </w:r>
    </w:p>
    <w:p w14:paraId="0353714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本项目严格遵循国军标及装备承制管理相关要求，建立并有效运行覆盖软件研制全生命周期的质量管理体系，全面保障本项目软件的研制质量、合规性与可追溯性，各项要求严格落实如下：</w:t>
      </w:r>
    </w:p>
    <w:p w14:paraId="66CDE302">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质量管理体系建立与合规运行</w:t>
      </w:r>
    </w:p>
    <w:p w14:paraId="7334E697">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我方严格依据GJB 9001《质量管理体系要求》，建立并持续有效运行覆盖装备科研、生产、服务全流程的质量管理体系，体系全面覆盖本项目从需求分析、设计开发、测试验证、交付运维到售后服务的全生命周期环节。本合同标软件的研制、生产、交付全流程，严格限定在我方已获准的装备承制范围及武器装备科研生产许可项目/产品范围内，确保项目研制全流程符合装备承制资质管理要求，杜绝超范围研制、违规生产等情况，保障项目全流程合规性。</w:t>
      </w:r>
    </w:p>
    <w:p w14:paraId="0C1A2E53">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变更事项管控与主动告知机制</w:t>
      </w:r>
    </w:p>
    <w:p w14:paraId="07D199D2">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建立严格的变更管控与主动告知机制，针对合同履行过程中的各类资质、组织、技术状态变更，严格落实告知要求：当合同涉及的装备承制范围发生变化、组织机构发生调整、资格审查机构发生变更、产品技术状态发生变更时，我方将正式书面形式（含加盖我方公章的纸质文件与加密电子文件）通知甲方，同步提交变更详细说明、相关资质证明材料及变更对项目质量、进度、安全的影响评估报告，确保甲方及时掌握变更情况，保障项目全流程合规、稳定运行。</w:t>
      </w:r>
    </w:p>
    <w:p w14:paraId="55970FC3">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军用软件研制能力要求落实</w:t>
      </w:r>
    </w:p>
    <w:p w14:paraId="4C9BF84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我方严格按照GJB 5000B-2021《军用软件研制能力成熟度模型》规定的相应等级软件研制能力要求，开展本项目软件的全生命周期研制工作，全面落实过程管理、项目管理、配置管理、质量保证、度量分析、需求管理、风险管理等GJB5000要求的各项过程域，规范需求分析、概要设计、详细设计、编码实现、测试验证、交付运维等各环节的研制流程，确保软件研制过程可追溯、质量可控、风险可管，全面满足军用软件研制能力成熟度相关要求，保障软件产品质量符合军用标准与项目建设需求。</w:t>
      </w:r>
    </w:p>
    <w:p w14:paraId="2BC2F5D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质量管理措施</w:t>
      </w:r>
    </w:p>
    <w:p w14:paraId="09FCD9E0">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质量策划</w:t>
      </w:r>
    </w:p>
    <w:p w14:paraId="56D16D10">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按照甲方确定的研制相关工作要求，依据《GJB 438C-2021《军用软件开发文档通用要求》，开展策划范围、确定质量工作原则与质量目标、明确管理职责、文件和记录的控制、质量信息的管理、技术状态管理、顾客沟通、设计过程质量控制、试验控制、采购质量控制、售后服务等工作项目等质量策划工作，编制软件质量保证计划，提交甲方确认。</w:t>
      </w:r>
    </w:p>
    <w:p w14:paraId="764F70FA">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bookmarkStart w:id="31" w:name="_Ref1487"/>
      <w:r>
        <w:rPr>
          <w:rFonts w:hint="eastAsia" w:eastAsia="黑体"/>
          <w:bCs/>
          <w:szCs w:val="32"/>
          <w:lang w:val="en-US" w:eastAsia="zh-CN"/>
        </w:rPr>
        <w:t>文件和记录控制</w:t>
      </w:r>
      <w:bookmarkEnd w:id="31"/>
    </w:p>
    <w:p w14:paraId="3B81F566">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我方项目相关成套资料管理保证符合甲方项目技术资料管理相关文件的规定。提供的成套技术资料，详见下表。</w:t>
      </w:r>
    </w:p>
    <w:p w14:paraId="2F126BB2">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w14:ligatures w14:val="none"/>
        </w:rPr>
      </w:pPr>
      <w:r>
        <w:rPr>
          <w:rFonts w:hint="eastAsia" w:ascii="Times New Roman" w:hAnsi="Times New Roman" w:eastAsia="宋体" w:cs="Times New Roman"/>
          <w:color w:val="auto"/>
          <w:sz w:val="24"/>
          <w:szCs w:val="24"/>
          <w:lang w:val="en-US" w:eastAsia="zh-CN"/>
          <w14:ligatures w14:val="none"/>
        </w:rPr>
        <w:t>交付资料清单</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w14: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w14: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序号</w:t>
            </w:r>
          </w:p>
        </w:tc>
        <w:tc>
          <w:tcPr>
            <w:tcW w:w="3379" w:type="dxa"/>
            <w:noWrap w:val="0"/>
            <w:vAlign w:val="center"/>
          </w:tcPr>
          <w:p w14: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名称</w:t>
            </w:r>
          </w:p>
        </w:tc>
        <w:tc>
          <w:tcPr>
            <w:tcW w:w="833" w:type="dxa"/>
            <w:noWrap w:val="0"/>
            <w:vAlign w:val="center"/>
          </w:tcPr>
          <w:p w14: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数量</w:t>
            </w:r>
          </w:p>
        </w:tc>
        <w:tc>
          <w:tcPr>
            <w:tcW w:w="970" w:type="dxa"/>
            <w:noWrap w:val="0"/>
            <w:vAlign w:val="center"/>
          </w:tcPr>
          <w:p w14: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单位</w:t>
            </w:r>
          </w:p>
        </w:tc>
        <w:tc>
          <w:tcPr>
            <w:tcW w:w="2470" w:type="dxa"/>
            <w:noWrap w:val="0"/>
            <w:vAlign w:val="center"/>
          </w:tcPr>
          <w:p w14: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成果形式</w:t>
            </w:r>
          </w:p>
        </w:tc>
      </w:tr>
      <w:tr w14: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软件开发计划</w:t>
            </w:r>
          </w:p>
        </w:tc>
        <w:tc>
          <w:tcPr>
            <w:tcW w:w="833" w:type="dxa"/>
            <w:noWrap w:val="0"/>
            <w:vAlign w:val="center"/>
          </w:tcPr>
          <w:p w14: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软件配置管理计划</w:t>
            </w:r>
          </w:p>
        </w:tc>
        <w:tc>
          <w:tcPr>
            <w:tcW w:w="833" w:type="dxa"/>
            <w:noWrap w:val="0"/>
            <w:vAlign w:val="center"/>
          </w:tcPr>
          <w:p w14: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软件质量保证计划</w:t>
            </w:r>
          </w:p>
        </w:tc>
        <w:tc>
          <w:tcPr>
            <w:tcW w:w="833" w:type="dxa"/>
            <w:noWrap w:val="0"/>
            <w:vAlign w:val="center"/>
          </w:tcPr>
          <w:p w14: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需求规格说明</w:t>
            </w:r>
          </w:p>
        </w:tc>
        <w:tc>
          <w:tcPr>
            <w:tcW w:w="833" w:type="dxa"/>
            <w:noWrap w:val="0"/>
            <w:vAlign w:val="center"/>
          </w:tcPr>
          <w:p w14: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功能设计说明</w:t>
            </w:r>
          </w:p>
        </w:tc>
        <w:tc>
          <w:tcPr>
            <w:tcW w:w="833" w:type="dxa"/>
            <w:noWrap w:val="0"/>
            <w:vAlign w:val="center"/>
          </w:tcPr>
          <w:p w14: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测试总结</w:t>
            </w:r>
          </w:p>
        </w:tc>
        <w:tc>
          <w:tcPr>
            <w:tcW w:w="833" w:type="dxa"/>
            <w:noWrap w:val="0"/>
            <w:vAlign w:val="center"/>
          </w:tcPr>
          <w:p w14: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用户手册</w:t>
            </w:r>
          </w:p>
        </w:tc>
        <w:tc>
          <w:tcPr>
            <w:tcW w:w="833" w:type="dxa"/>
            <w:noWrap w:val="0"/>
            <w:vAlign w:val="center"/>
          </w:tcPr>
          <w:p w14: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配置管理总结</w:t>
            </w:r>
          </w:p>
        </w:tc>
        <w:tc>
          <w:tcPr>
            <w:tcW w:w="833" w:type="dxa"/>
            <w:noWrap w:val="0"/>
            <w:vAlign w:val="center"/>
          </w:tcPr>
          <w:p w14: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项目研制总结报告</w:t>
            </w:r>
          </w:p>
        </w:tc>
        <w:tc>
          <w:tcPr>
            <w:tcW w:w="833" w:type="dxa"/>
            <w:noWrap w:val="0"/>
            <w:vAlign w:val="center"/>
          </w:tcPr>
          <w:p w14: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项目管理过程文档</w:t>
            </w:r>
          </w:p>
        </w:tc>
        <w:tc>
          <w:tcPr>
            <w:tcW w:w="833" w:type="dxa"/>
            <w:noWrap w:val="0"/>
            <w:vAlign w:val="center"/>
          </w:tcPr>
          <w:p w14: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自主可控评估大纲</w:t>
            </w:r>
          </w:p>
        </w:tc>
        <w:tc>
          <w:tcPr>
            <w:tcW w:w="833" w:type="dxa"/>
            <w:noWrap w:val="0"/>
            <w:vAlign w:val="center"/>
          </w:tcPr>
          <w:p w14: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自主可控评估报告</w:t>
            </w:r>
          </w:p>
        </w:tc>
        <w:tc>
          <w:tcPr>
            <w:tcW w:w="833" w:type="dxa"/>
            <w:noWrap w:val="0"/>
            <w:vAlign w:val="center"/>
          </w:tcPr>
          <w:p w14: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合同及经费穿透监管配套材料</w:t>
            </w:r>
          </w:p>
        </w:tc>
        <w:tc>
          <w:tcPr>
            <w:tcW w:w="833" w:type="dxa"/>
            <w:noWrap w:val="0"/>
            <w:vAlign w:val="center"/>
          </w:tcPr>
          <w:p w14: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w:t>
            </w:r>
          </w:p>
        </w:tc>
        <w:tc>
          <w:tcPr>
            <w:tcW w:w="833" w:type="dxa"/>
            <w:noWrap w:val="0"/>
            <w:vAlign w:val="center"/>
          </w:tcPr>
          <w:p w14: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可执行程序及源代码</w:t>
            </w:r>
          </w:p>
        </w:tc>
      </w:tr>
    </w:tbl>
    <w:p w14:paraId="0E9C8767">
      <w:pPr>
        <w:widowControl w:val="0"/>
        <w:bidi w:val="0"/>
        <w:spacing w:after="2" w:line="360" w:lineRule="auto"/>
        <w:jc w:val="left"/>
        <w:rPr>
          <w:rFonts w:hint="eastAsia" w:ascii="Times New Roman" w:hAnsi="Times New Roman" w:eastAsia="宋体" w:cs="Times New Roman"/>
          <w:kern w:val="2"/>
          <w:sz w:val="24"/>
          <w:szCs w:val="24"/>
          <w:lang w:val="en-US" w:eastAsia="zh-CN" w:bidi="ar-SA"/>
          <w14:ligatures w14:val="standardContextual"/>
        </w:rPr>
      </w:pPr>
    </w:p>
    <w:p w14:paraId="52E8F198">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我方保证产品实现过程的质量记录完整、清晰、易于检索。同时甲方有查阅产品实现过程质量记录的权力，未经我方同意，不得泄露给第三方。</w:t>
      </w:r>
    </w:p>
    <w:p w14:paraId="72B688D6">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技术状态管理</w:t>
      </w:r>
    </w:p>
    <w:p w14:paraId="53D554B8">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我方对本合同所有技术状态项开展技术状态管理。</w:t>
      </w:r>
    </w:p>
    <w:p w14:paraId="358CAA2A">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我方参照GJB5235《军用软件配置管理》要求，对本合同标的物实施配置管理，软件配置管理计划提交甲方认可。</w:t>
      </w:r>
    </w:p>
    <w:p w14:paraId="64ADC0D9">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我方对软件配置项进行更改时，先经甲方审批。</w:t>
      </w:r>
    </w:p>
    <w:p w14:paraId="6215AECA">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质量问题处理</w:t>
      </w:r>
    </w:p>
    <w:p w14:paraId="2A0C95ED">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项目研制过程中按照GJB 5711《装备质量问题处理通用要求》，对研制过程中发生的质量问题进行分类。</w:t>
      </w:r>
    </w:p>
    <w:p w14:paraId="3F310EF7">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项目交付后发现产品质量存在质量问题或隐患时，我方保证求提供7×24小时响应服务，响应时间不超过2小时，6小时内赶到合同甲方指定场所进行服务，并在4</w:t>
      </w:r>
      <w:r>
        <w:rPr>
          <w:rFonts w:hint="eastAsia" w:eastAsia="宋体" w:cs="Times New Roman"/>
          <w:kern w:val="2"/>
          <w:sz w:val="24"/>
          <w:szCs w:val="24"/>
          <w:lang w:val="en-US" w:eastAsia="zh-CN" w:bidi="ar-SA"/>
          <w14:ligatures w14:val="standardContextual"/>
        </w:rPr>
        <w:t>8</w:t>
      </w:r>
      <w:r>
        <w:rPr>
          <w:rFonts w:hint="eastAsia" w:ascii="Times New Roman" w:hAnsi="Times New Roman" w:eastAsia="宋体" w:cs="Times New Roman"/>
          <w:kern w:val="2"/>
          <w:sz w:val="24"/>
          <w:szCs w:val="24"/>
          <w:lang w:val="en-US" w:eastAsia="zh-CN" w:bidi="ar-SA"/>
          <w14:ligatures w14:val="standardContextual"/>
        </w:rPr>
        <w:t>小时内排除故障。48小时仍未排除故障、恢复正常运转的，由</w:t>
      </w:r>
      <w:r>
        <w:rPr>
          <w:rFonts w:hint="eastAsia" w:eastAsia="宋体" w:cs="Times New Roman"/>
          <w:kern w:val="2"/>
          <w:sz w:val="24"/>
          <w:szCs w:val="24"/>
          <w:lang w:val="en-US" w:eastAsia="zh-CN" w:bidi="ar-SA"/>
          <w14:ligatures w14:val="standardContextual"/>
        </w:rPr>
        <w:t>我</w:t>
      </w:r>
      <w:r>
        <w:rPr>
          <w:rFonts w:hint="eastAsia" w:ascii="Times New Roman" w:hAnsi="Times New Roman" w:eastAsia="宋体" w:cs="Times New Roman"/>
          <w:kern w:val="2"/>
          <w:sz w:val="24"/>
          <w:szCs w:val="24"/>
          <w:lang w:val="en-US" w:eastAsia="zh-CN" w:bidi="ar-SA"/>
          <w14:ligatures w14:val="standardContextual"/>
        </w:rPr>
        <w:t>方7天内免费提供同类型备品、备件等。</w:t>
      </w:r>
    </w:p>
    <w:p w14:paraId="1D554286">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建立和运行故障报告、分析和纠正措施系统，研制过程中发生的故障，按照GJB 841《故障报告、分析和纠正措施系统》规定和要求，故障报告、故障分析报告、纠正措施实施报告保证甲方按需可查。</w:t>
      </w:r>
    </w:p>
    <w:p w14:paraId="0A98892D">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项目人员培训</w:t>
      </w:r>
    </w:p>
    <w:p w14:paraId="5CFF58AF">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我方对涉及本合同的设计、编码、测试、部署等人员进行相关培训，确保人员能力素质满足岗位要求。</w:t>
      </w:r>
    </w:p>
    <w:p w14:paraId="517869BB">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通用质量特性设计</w:t>
      </w:r>
    </w:p>
    <w:p w14:paraId="4959CE8C">
      <w:pPr>
        <w:widowControl w:val="0"/>
        <w:bidi w:val="0"/>
        <w:spacing w:after="2" w:line="360" w:lineRule="auto"/>
        <w:ind w:firstLine="480" w:firstLineChars="200"/>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我方严格落实通用化、系列化、组合化要求，根据装备通用质量特性相关标准，开展可靠性、维修性、测试性、保障性、安全性、环境适应性等设计。详见5.4章节 通用质量特性分析。</w:t>
      </w:r>
    </w:p>
    <w:p w14:paraId="3AEA2D3A">
      <w:pPr>
        <w:keepNext/>
        <w:keepLines/>
        <w:numPr>
          <w:ilvl w:val="3"/>
          <w:numId w:val="11"/>
        </w:numPr>
        <w:tabs>
          <w:tab w:val="left" w:pos="0"/>
        </w:tabs>
        <w:spacing w:line="360" w:lineRule="auto"/>
        <w:ind w:left="0" w:leftChars="0" w:firstLine="0" w:firstLineChars="0"/>
        <w:outlineLvl w:val="3"/>
        <w:rPr>
          <w:rFonts w:hint="default" w:eastAsia="黑体"/>
          <w:bCs/>
          <w:szCs w:val="32"/>
          <w:lang w:val="en-US" w:eastAsia="zh-CN"/>
        </w:rPr>
      </w:pPr>
      <w:r>
        <w:rPr>
          <w:rFonts w:hint="eastAsia" w:eastAsia="黑体"/>
          <w:bCs/>
          <w:szCs w:val="32"/>
          <w:lang w:val="en-US" w:eastAsia="zh-CN"/>
        </w:rPr>
        <w:t>软件质量控制</w:t>
      </w:r>
    </w:p>
    <w:p w14:paraId="43B28044">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进行软件质量保证策划，按照甲方软件工程化相关文件、GJB438C-2021《军用软件开发文档通用要求》，开展软件质量策划机构和职责，遵循的法规、标准和规程，待审核的活动、产品和审核时机，不符合项的解决方法，实施的工具、技术和方法，记录的控制等质量策划工作，形成《软件质量保证计划》，并邀请甲方及相关军事代表机构参与评审。</w:t>
      </w:r>
    </w:p>
    <w:p w14:paraId="07AA57F1">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我方按照GJB 2786A-2009《军用软件开发通用要求》、GJB9001C-2017《质量管理体系要求》、GJB439A-2013《军用软件质量保证通用要求》建立并实施相应等级的软件工作过程。</w:t>
      </w:r>
    </w:p>
    <w:p w14:paraId="3DA8BF1A">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我方按照甲乙双方确定的一般级软件管理，进行软件的开发管理，建立开发库、受控库、产品库“三库”，开展配置管理。</w:t>
      </w:r>
    </w:p>
    <w:p w14:paraId="70EE06EE">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甲方组织软件验收测试、评审等时，我方保证于软件验收测试、评审节点前10个工作旦提交软件测试报告等资料。</w:t>
      </w:r>
    </w:p>
    <w:p w14:paraId="39CB090B">
      <w:pPr>
        <w:keepNext/>
        <w:keepLines/>
        <w:numPr>
          <w:ilvl w:val="3"/>
          <w:numId w:val="11"/>
        </w:numPr>
        <w:tabs>
          <w:tab w:val="left" w:pos="0"/>
        </w:tabs>
        <w:spacing w:line="360" w:lineRule="auto"/>
        <w:ind w:left="0" w:leftChars="0" w:firstLine="0" w:firstLineChars="0"/>
        <w:outlineLvl w:val="3"/>
        <w:rPr>
          <w:rFonts w:hint="default" w:eastAsia="黑体"/>
          <w:bCs/>
          <w:szCs w:val="32"/>
          <w:lang w:val="en-US" w:eastAsia="zh-CN"/>
        </w:rPr>
      </w:pPr>
      <w:r>
        <w:rPr>
          <w:rFonts w:hint="eastAsia" w:eastAsia="黑体"/>
          <w:bCs/>
          <w:szCs w:val="32"/>
          <w:lang w:val="en-US" w:eastAsia="zh-CN"/>
        </w:rPr>
        <w:t>质量证明文件</w:t>
      </w:r>
    </w:p>
    <w:p w14:paraId="3B86A75A">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我方保证依据甲方质量证明文件编制要求的要求编制产品合格证，并随产品提交甲方。</w:t>
      </w:r>
    </w:p>
    <w:p w14:paraId="67031337">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过程质量保证措施</w:t>
      </w:r>
    </w:p>
    <w:p w14:paraId="4D3D5F93">
      <w:pPr>
        <w:keepNext/>
        <w:keepLines/>
        <w:numPr>
          <w:ilvl w:val="3"/>
          <w:numId w:val="11"/>
        </w:numPr>
        <w:tabs>
          <w:tab w:val="left" w:pos="0"/>
        </w:tabs>
        <w:spacing w:line="360" w:lineRule="auto"/>
        <w:ind w:left="0" w:leftChars="0" w:firstLine="0" w:firstLineChars="0"/>
        <w:outlineLvl w:val="3"/>
        <w:rPr>
          <w:rFonts w:hint="default" w:eastAsia="黑体"/>
          <w:bCs/>
          <w:szCs w:val="32"/>
          <w:lang w:val="en-US" w:eastAsia="zh-CN"/>
        </w:rPr>
      </w:pPr>
      <w:r>
        <w:rPr>
          <w:rFonts w:hint="eastAsia" w:eastAsia="黑体"/>
          <w:bCs/>
          <w:szCs w:val="32"/>
          <w:lang w:val="en-US" w:eastAsia="zh-CN"/>
        </w:rPr>
        <w:t>设计质量保证措施</w:t>
      </w:r>
    </w:p>
    <w:p w14:paraId="242A1B49">
      <w:pPr>
        <w:widowControl w:val="0"/>
        <w:numPr>
          <w:ilvl w:val="0"/>
          <w:numId w:val="16"/>
        </w:numPr>
        <w:bidi w:val="0"/>
        <w:spacing w:after="2" w:line="360" w:lineRule="auto"/>
        <w:ind w:left="845" w:leftChars="0" w:hanging="425" w:firstLine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设计策划与分析</w:t>
      </w:r>
    </w:p>
    <w:p w14:paraId="08272DE2">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我方明确设计阶段，策划各阶段的评审、验证和确认活动，确定设计关键因素、薄弱环节的识别、产品标准化要求、通用特性技术应用、特性分析、保证资源、软件策划，编制软件开发计划，并提交甲方确认。</w:t>
      </w:r>
    </w:p>
    <w:p w14:paraId="1602DD5A">
      <w:pPr>
        <w:widowControl w:val="0"/>
        <w:numPr>
          <w:ilvl w:val="0"/>
          <w:numId w:val="16"/>
        </w:numPr>
        <w:bidi w:val="0"/>
        <w:spacing w:after="2" w:line="360" w:lineRule="auto"/>
        <w:ind w:left="845" w:leftChars="0" w:hanging="425" w:firstLine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设计评审</w:t>
      </w:r>
    </w:p>
    <w:p w14:paraId="1083A436">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我方依据甲方项目设计评审要求要求组织开展设计评审，并提前通知甲方，评审后将设计评审报告、存在问题及建议登记表、评审结论提交甲方，对存在问题采取的措施应当提交甲方确认。</w:t>
      </w:r>
    </w:p>
    <w:p w14:paraId="190B861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我方按照甲方要求提交软件设计文档等上一层级产品或相关产品的设计评审所需资料。</w:t>
      </w:r>
    </w:p>
    <w:p w14:paraId="788C682E">
      <w:pPr>
        <w:widowControl w:val="0"/>
        <w:numPr>
          <w:ilvl w:val="0"/>
          <w:numId w:val="16"/>
        </w:numPr>
        <w:bidi w:val="0"/>
        <w:spacing w:after="2" w:line="360" w:lineRule="auto"/>
        <w:ind w:left="845" w:leftChars="0" w:hanging="425" w:firstLine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设计验证</w:t>
      </w:r>
    </w:p>
    <w:p w14:paraId="351CF4B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我方组织进行设计验证，对发现的重大、严重、一般等级的质量问题提出解决措施，实施问题跟踪管理，处理情况按重大按周，严重、一般按月提交甲方。</w:t>
      </w:r>
    </w:p>
    <w:p w14:paraId="3711866B">
      <w:pPr>
        <w:keepNext/>
        <w:keepLines/>
        <w:numPr>
          <w:ilvl w:val="3"/>
          <w:numId w:val="11"/>
        </w:numPr>
        <w:tabs>
          <w:tab w:val="left" w:pos="0"/>
        </w:tabs>
        <w:spacing w:line="360" w:lineRule="auto"/>
        <w:ind w:left="0" w:leftChars="0" w:firstLine="0" w:firstLineChars="0"/>
        <w:outlineLvl w:val="3"/>
        <w:rPr>
          <w:rFonts w:hint="default" w:eastAsia="黑体"/>
          <w:bCs/>
          <w:szCs w:val="32"/>
          <w:lang w:val="en-US" w:eastAsia="zh-CN"/>
        </w:rPr>
      </w:pPr>
      <w:r>
        <w:rPr>
          <w:rFonts w:hint="eastAsia" w:eastAsia="黑体"/>
          <w:bCs/>
          <w:szCs w:val="32"/>
          <w:lang w:val="en-US" w:eastAsia="zh-CN"/>
        </w:rPr>
        <w:t>服务质量保障措施</w:t>
      </w:r>
    </w:p>
    <w:p w14:paraId="31D60168">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项目研制过程中按照GJB 5711《装备质量问题处理通用要求》，对研制过程中发生的质量问题进行分类。</w:t>
      </w:r>
    </w:p>
    <w:p w14:paraId="0C761264">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w:t>
      </w:r>
      <w:r>
        <w:rPr>
          <w:rFonts w:hint="eastAsia" w:eastAsia="宋体" w:cs="Times New Roman"/>
          <w:kern w:val="2"/>
          <w:sz w:val="24"/>
          <w:szCs w:val="24"/>
          <w:lang w:val="en-US" w:eastAsia="zh-CN" w:bidi="ar-SA"/>
          <w14:ligatures w14:val="standardContextual"/>
        </w:rPr>
        <w:t>项目</w:t>
      </w:r>
      <w:r>
        <w:rPr>
          <w:rFonts w:hint="eastAsia" w:ascii="Times New Roman" w:hAnsi="Times New Roman" w:eastAsia="宋体" w:cs="Times New Roman"/>
          <w:kern w:val="2"/>
          <w:sz w:val="24"/>
          <w:szCs w:val="24"/>
          <w:lang w:val="en-US" w:eastAsia="zh-CN" w:bidi="ar-SA"/>
          <w14:ligatures w14:val="standardContextual"/>
        </w:rPr>
        <w:t>验收完毕之日起，若无后续迭代需求的，</w:t>
      </w:r>
      <w:r>
        <w:rPr>
          <w:rFonts w:hint="eastAsia" w:eastAsia="宋体" w:cs="Times New Roman"/>
          <w:kern w:val="2"/>
          <w:sz w:val="24"/>
          <w:szCs w:val="24"/>
          <w:lang w:val="en-US" w:eastAsia="zh-CN" w:bidi="ar-SA"/>
          <w14:ligatures w14:val="standardContextual"/>
        </w:rPr>
        <w:t>我方保证</w:t>
      </w:r>
      <w:r>
        <w:rPr>
          <w:rFonts w:hint="eastAsia" w:ascii="Times New Roman" w:hAnsi="Times New Roman" w:eastAsia="宋体" w:cs="Times New Roman"/>
          <w:kern w:val="2"/>
          <w:sz w:val="24"/>
          <w:szCs w:val="24"/>
          <w:lang w:val="en-US" w:eastAsia="zh-CN" w:bidi="ar-SA"/>
          <w14:ligatures w14:val="standardContextual"/>
        </w:rPr>
        <w:t>提供</w:t>
      </w:r>
      <w:r>
        <w:rPr>
          <w:rFonts w:hint="eastAsia" w:eastAsia="宋体" w:cs="Times New Roman"/>
          <w:kern w:val="2"/>
          <w:sz w:val="24"/>
          <w:szCs w:val="24"/>
          <w:lang w:val="en-US" w:eastAsia="zh-CN" w:bidi="ar-SA"/>
          <w14:ligatures w14:val="standardContextual"/>
        </w:rPr>
        <w:t>3</w:t>
      </w:r>
      <w:r>
        <w:rPr>
          <w:rFonts w:hint="eastAsia" w:ascii="Times New Roman" w:hAnsi="Times New Roman" w:eastAsia="宋体" w:cs="Times New Roman"/>
          <w:kern w:val="2"/>
          <w:sz w:val="24"/>
          <w:szCs w:val="24"/>
          <w:lang w:val="en-US" w:eastAsia="zh-CN" w:bidi="ar-SA"/>
          <w14:ligatures w14:val="standardContextual"/>
        </w:rPr>
        <w:t>年的质量保证期，用于后续服务保障，主要包括：现场技术支持、远程电话支持。</w:t>
      </w:r>
      <w:r>
        <w:rPr>
          <w:rFonts w:hint="eastAsia" w:eastAsia="宋体" w:cs="Times New Roman"/>
          <w:kern w:val="2"/>
          <w:sz w:val="24"/>
          <w:szCs w:val="24"/>
          <w:lang w:val="en-US" w:eastAsia="zh-CN" w:bidi="ar-SA"/>
          <w14:ligatures w14:val="standardContextual"/>
        </w:rPr>
        <w:t>我方</w:t>
      </w:r>
      <w:r>
        <w:rPr>
          <w:rFonts w:hint="eastAsia" w:ascii="Times New Roman" w:hAnsi="Times New Roman" w:eastAsia="宋体" w:cs="Times New Roman"/>
          <w:kern w:val="2"/>
          <w:sz w:val="24"/>
          <w:szCs w:val="24"/>
          <w:lang w:val="en-US" w:eastAsia="zh-CN" w:bidi="ar-SA"/>
          <w14:ligatures w14:val="standardContextual"/>
        </w:rPr>
        <w:t>对提供的物资或成果在质保期内，因产品质量而导致的缺陷，</w:t>
      </w:r>
      <w:r>
        <w:rPr>
          <w:rFonts w:hint="eastAsia" w:eastAsia="宋体" w:cs="Times New Roman"/>
          <w:kern w:val="2"/>
          <w:sz w:val="24"/>
          <w:szCs w:val="24"/>
          <w:lang w:val="en-US" w:eastAsia="zh-CN" w:bidi="ar-SA"/>
          <w14:ligatures w14:val="standardContextual"/>
        </w:rPr>
        <w:t>保证</w:t>
      </w:r>
      <w:r>
        <w:rPr>
          <w:rFonts w:hint="eastAsia" w:ascii="Times New Roman" w:hAnsi="Times New Roman" w:eastAsia="宋体" w:cs="Times New Roman"/>
          <w:kern w:val="2"/>
          <w:sz w:val="24"/>
          <w:szCs w:val="24"/>
          <w:lang w:val="en-US" w:eastAsia="zh-CN" w:bidi="ar-SA"/>
          <w14:ligatures w14:val="standardContextual"/>
        </w:rPr>
        <w:t>免费提供包修、包换、包退服务，因此导致的损失甲方有权向</w:t>
      </w:r>
      <w:r>
        <w:rPr>
          <w:rFonts w:hint="eastAsia" w:eastAsia="宋体" w:cs="Times New Roman"/>
          <w:kern w:val="2"/>
          <w:sz w:val="24"/>
          <w:szCs w:val="24"/>
          <w:lang w:val="en-US" w:eastAsia="zh-CN" w:bidi="ar-SA"/>
          <w14:ligatures w14:val="standardContextual"/>
        </w:rPr>
        <w:t>我</w:t>
      </w:r>
      <w:r>
        <w:rPr>
          <w:rFonts w:hint="eastAsia" w:ascii="Times New Roman" w:hAnsi="Times New Roman" w:eastAsia="宋体" w:cs="Times New Roman"/>
          <w:kern w:val="2"/>
          <w:sz w:val="24"/>
          <w:szCs w:val="24"/>
          <w:lang w:val="en-US" w:eastAsia="zh-CN" w:bidi="ar-SA"/>
          <w14:ligatures w14:val="standardContextual"/>
        </w:rPr>
        <w:t>方追偿；若有迭代需求的，按《全JZB数据建设创新组织管理工作方案》实施。超出质保期后，</w:t>
      </w:r>
      <w:r>
        <w:rPr>
          <w:rFonts w:hint="eastAsia" w:eastAsia="宋体" w:cs="Times New Roman"/>
          <w:kern w:val="2"/>
          <w:sz w:val="24"/>
          <w:szCs w:val="24"/>
          <w:lang w:val="en-US" w:eastAsia="zh-CN" w:bidi="ar-SA"/>
          <w14:ligatures w14:val="standardContextual"/>
        </w:rPr>
        <w:t>我方继续</w:t>
      </w:r>
      <w:r>
        <w:rPr>
          <w:rFonts w:hint="eastAsia" w:ascii="Times New Roman" w:hAnsi="Times New Roman" w:eastAsia="宋体" w:cs="Times New Roman"/>
          <w:kern w:val="2"/>
          <w:sz w:val="24"/>
          <w:szCs w:val="24"/>
          <w:lang w:val="en-US" w:eastAsia="zh-CN" w:bidi="ar-SA"/>
          <w14:ligatures w14:val="standardContextual"/>
        </w:rPr>
        <w:t>提供上门维修服务，仅收取成本费。</w:t>
      </w:r>
    </w:p>
    <w:p w14:paraId="4891347F">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项目交付后发现产品质量存在质量问题或隐患时，我方保证提供7×24小时响应服务，响应时间不超过2小时，6小时内赶到合同甲方指定场所进行服务，并在4</w:t>
      </w:r>
      <w:r>
        <w:rPr>
          <w:rFonts w:hint="eastAsia" w:eastAsia="宋体" w:cs="Times New Roman"/>
          <w:kern w:val="2"/>
          <w:sz w:val="24"/>
          <w:szCs w:val="24"/>
          <w:lang w:val="en-US" w:eastAsia="zh-CN" w:bidi="ar-SA"/>
          <w14:ligatures w14:val="standardContextual"/>
        </w:rPr>
        <w:t>8</w:t>
      </w:r>
      <w:r>
        <w:rPr>
          <w:rFonts w:hint="eastAsia" w:ascii="Times New Roman" w:hAnsi="Times New Roman" w:eastAsia="宋体" w:cs="Times New Roman"/>
          <w:kern w:val="2"/>
          <w:sz w:val="24"/>
          <w:szCs w:val="24"/>
          <w:lang w:val="en-US" w:eastAsia="zh-CN" w:bidi="ar-SA"/>
          <w14:ligatures w14:val="standardContextual"/>
        </w:rPr>
        <w:t>小时内排除故障。48小时仍未排除故障、恢复正常运转的，由</w:t>
      </w:r>
      <w:r>
        <w:rPr>
          <w:rFonts w:hint="eastAsia" w:eastAsia="宋体" w:cs="Times New Roman"/>
          <w:kern w:val="2"/>
          <w:sz w:val="24"/>
          <w:szCs w:val="24"/>
          <w:lang w:val="en-US" w:eastAsia="zh-CN" w:bidi="ar-SA"/>
          <w14:ligatures w14:val="standardContextual"/>
        </w:rPr>
        <w:t>我</w:t>
      </w:r>
      <w:r>
        <w:rPr>
          <w:rFonts w:hint="eastAsia" w:ascii="Times New Roman" w:hAnsi="Times New Roman" w:eastAsia="宋体" w:cs="Times New Roman"/>
          <w:kern w:val="2"/>
          <w:sz w:val="24"/>
          <w:szCs w:val="24"/>
          <w:lang w:val="en-US" w:eastAsia="zh-CN" w:bidi="ar-SA"/>
          <w14:ligatures w14:val="standardContextual"/>
        </w:rPr>
        <w:t>方7天内免费提供同类型备品、备件等。</w:t>
      </w:r>
    </w:p>
    <w:p w14:paraId="5D46F3AD">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建立和运行故障报告、分析和纠正措施系统，研制过程中发生的故障，按照GJB 841《故障报告、分析和纠正措施系统》规定和要求，故障报告、故障分析报告、纠正措施实施报告保证甲方按需可查。</w:t>
      </w:r>
    </w:p>
    <w:p w14: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2" w:name="_Ref3150"/>
      <w:bookmarkStart w:id="33" w:name="_Toc18355"/>
      <w:bookmarkStart w:id="34" w:name="_Toc24827"/>
      <w:r>
        <w:rPr>
          <w:rFonts w:hint="eastAsia" w:ascii="黑体" w:hAnsi="黑体" w:eastAsia="黑体" w:cs="黑体"/>
          <w:sz w:val="28"/>
          <w:szCs w:val="32"/>
          <w:lang w:val="en-US" w:eastAsia="zh-CN"/>
        </w:rPr>
        <w:t>项目进度计划</w:t>
      </w:r>
      <w:bookmarkEnd w:id="32"/>
      <w:bookmarkEnd w:id="33"/>
      <w:bookmarkEnd w:id="34"/>
    </w:p>
    <w:p w14:paraId="16B7EA53">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本项目整体进度节点严格与技术要求中明确的时间要求保持一致，以合同签订时间为进度基准T0，分阶段、分里程碑推进项目全生命周期建设工作，确保各环节有序衔接、各节点按期高质量完成，全面满足项目建设与交付要求。</w:t>
      </w:r>
    </w:p>
    <w:p w14:paraId="61608C87">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总体进度安排</w:t>
      </w:r>
    </w:p>
    <w:p w14:paraId="253DBF77">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本项目以合同签订时间为基准T0，整体建设周期为4个月，围绕软件功能研制及测试、系统联调、预验收、交付验收四大核心里程碑推进，各阶段工作深度衔接、并行优化，确保项目按期交付、稳定上线，整体进度节点与全JZB数据建设任务明确的时间要求保持一致。</w:t>
      </w:r>
    </w:p>
    <w:p w14:paraId="70AEF6A7">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 xml:space="preserve"> 核心里程碑进度计划</w:t>
      </w:r>
    </w:p>
    <w:p w14:paraId="696CB896">
      <w:pPr>
        <w:widowControl w:val="0"/>
        <w:numPr>
          <w:ilvl w:val="0"/>
          <w:numId w:val="17"/>
        </w:numPr>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T0+1月：软件功能研制及内部测试完成</w:t>
      </w:r>
    </w:p>
    <w:p w14:paraId="2740962C">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完成所有软件模块的代码编写、全国产化基础软硬件环境适配以及系统级综合测试。</w:t>
      </w:r>
    </w:p>
    <w:p w14:paraId="45241960">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并行研发启动：项目团队细分为三个核心研发组，分别负责“ZB资料库（含桌面端与移动端）”、“站区ZB需求管理系统综合态势”以及“综合研究计划管理（编报、审核、执行）”的并行开发。</w:t>
      </w:r>
    </w:p>
    <w:p w14:paraId="13D0B390">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国产化环境深度适配：在代码编写阶段，同步开展底层软硬件适配工作。确保应用服务全面兼容FT-2000+处理器与银河麒麟（V4.0.2或V10）操作系统，完成与金仓数据库（V8R3）的表结构建立与性能调优，并依托金蝶（V9.0）中间件完成微服务架构的部署与联调。</w:t>
      </w:r>
    </w:p>
    <w:p w14:paraId="5DA202E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移动端特殊攻关：针对ZB资料库移动端软件，集中攻克“数据解包与离线灌装”技术的端侧解析性能与加密沙箱落盘机制，确保国产化平板电脑端的各项态势展现模块在弱网/脱机环境下的正常运行。</w:t>
      </w:r>
    </w:p>
    <w:p w14:paraId="3EA1B5DD">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系统内部综合测试：在第1个月的中后期，开展全面系统的内部测试验证。测试内容涵盖功能完整性测试、系统漏洞扫描与源代码安全审查、百万级数据检索与高并发（1000在线/100并发）性能压测、以及系统长时间（7×24小时）连续运行的稳定性验证，确保软件达到交付试运行的标准。</w:t>
      </w:r>
    </w:p>
    <w:p w14:paraId="6E63E884">
      <w:pPr>
        <w:widowControl w:val="0"/>
        <w:numPr>
          <w:ilvl w:val="0"/>
          <w:numId w:val="17"/>
        </w:numPr>
        <w:bidi w:val="0"/>
        <w:spacing w:after="2" w:line="360" w:lineRule="auto"/>
        <w:ind w:left="0" w:leftChars="0"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T0+3月：系统试运行与预验收完成</w:t>
      </w:r>
    </w:p>
    <w:p w14:paraId="09724BF0">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将系统推向实际业务环境，通过试运行暴露并修复潜在问题，完成用户赋能，最终达成预验收条件。</w:t>
      </w:r>
    </w:p>
    <w:p w14:paraId="64A909E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部署上线与数据初始化：协助总体单位在指定的国产化服务器及单兵/机动终端上完成软件系统的物理部署，并进行初始权限配置与基础业务数据注入。</w:t>
      </w:r>
    </w:p>
    <w:p w14:paraId="503FD0D3">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技术培训：依托前期编制的《软件用户手册》、《系统管理员培训教程》等保障性资料，针对站区机关、评估中心、责任单位及部首长等不同角色用户，开展分层级的操作培训与演练，确保一线人员熟练掌握态势概览、复合检索、表单提报与审批流转等核心操作。</w:t>
      </w:r>
    </w:p>
    <w:p w14:paraId="1A1E1D3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试运行监控与缺陷修复：在系统开放试运行期间，利用底层的全链路操作留痕审计中心与异常日志追踪体系，实时监控系统运行态势。针对试运行期间用户反馈的交互体验问题或极端业务工况下暴露的深层Bug，执行快速迭代修复与补丁热更新。</w:t>
      </w:r>
    </w:p>
    <w:p w14:paraId="22FE4F7A">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预验收评审准备：整理试运行报告、缺陷修复清单以及阶段性测试报告，组织系统研制方、建设方及监理方召开预验收评审会议，针对系统功能完整度与性能指标达成情况进行专家质询与复核，取得预验收合格意见。</w:t>
      </w:r>
    </w:p>
    <w:p w14:paraId="55C18CA4">
      <w:pPr>
        <w:widowControl w:val="0"/>
        <w:numPr>
          <w:ilvl w:val="0"/>
          <w:numId w:val="17"/>
        </w:numPr>
        <w:bidi w:val="0"/>
        <w:spacing w:after="2" w:line="360" w:lineRule="auto"/>
        <w:ind w:left="0" w:leftChars="0"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T0+4月：合同交付验收完成</w:t>
      </w:r>
    </w:p>
    <w:p w14:paraId="2F51612D">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项目的最终收口期，主要任务是完成所有工程资产的移交，并配合最终用户完成正式的合同验收流程。</w:t>
      </w:r>
    </w:p>
    <w:p w14:paraId="06D7FEE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全量文档与源码移交：整理并冻结最终版本的系统源代码，移交完整的软件需求规格说明书、概要设计报告、详细设计报告、数据库设计文档、测试分析报告等全套软件工程生命周期文档。</w:t>
      </w:r>
    </w:p>
    <w:p w14:paraId="61ED910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自主可控专项评估交付：依据GJB 9530-2018《军用关键软硬件自主可控评估通用准则》，提交正式的《自主可控评估报告》及相关证明材料，确保本系统全面满足C等级或以上的自主可控刚性指标要求。</w:t>
      </w:r>
    </w:p>
    <w:p w14:paraId="13D62457">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正式交付验收评审：配合最终用户组织召开项目终验大会，由专家组对系统的功能实现、性能指标、安全可靠性及文档完备性进行全面审查。签署正式的验收交付证书，系统正式转入售后运维保障阶段。</w:t>
      </w:r>
    </w:p>
    <w:p w14:paraId="15794C14">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进度调整说明</w:t>
      </w:r>
    </w:p>
    <w:p w14:paraId="4AEC3B06">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实际进度计划及节点要求按最终用户确定的时间为准，我单位可根据用户实际需求灵活调整各阶段工作安排，确保项目整体进度符合建设单位总体部署要求。</w:t>
      </w:r>
    </w:p>
    <w:p w14: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5" w:name="_Ref881"/>
      <w:bookmarkStart w:id="36" w:name="_Toc24805"/>
      <w:bookmarkStart w:id="37" w:name="_Toc30998"/>
      <w:r>
        <w:rPr>
          <w:rFonts w:hint="eastAsia" w:ascii="黑体" w:hAnsi="黑体" w:eastAsia="黑体" w:cs="黑体"/>
          <w:sz w:val="28"/>
          <w:szCs w:val="32"/>
          <w:lang w:val="en-US" w:eastAsia="zh-CN"/>
        </w:rPr>
        <w:t>项目人员组成</w:t>
      </w:r>
      <w:bookmarkEnd w:id="35"/>
      <w:bookmarkEnd w:id="36"/>
      <w:bookmarkEnd w:id="37"/>
    </w:p>
    <w:p w14: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w14:ligatures w14:val="none"/>
        </w:rPr>
      </w:pPr>
      <w:r>
        <w:rPr>
          <w:rFonts w:hint="eastAsia" w:eastAsia="宋体" w:cs="Times New Roman"/>
          <w:color w:val="auto"/>
          <w:sz w:val="24"/>
          <w:szCs w:val="24"/>
          <w:lang w:val="en-US" w:eastAsia="zh-CN"/>
          <w14:ligatures w14:val="none"/>
        </w:rPr>
        <w:t>项目团队人员情况统计表</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w14: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1D36328">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拟担任</w:t>
            </w:r>
          </w:p>
          <w:p w14:paraId="103247DA">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职务、分工</w:t>
            </w:r>
          </w:p>
        </w:tc>
        <w:tc>
          <w:tcPr>
            <w:tcW w:w="1026" w:type="dxa"/>
            <w:vAlign w:val="center"/>
          </w:tcPr>
          <w:p w14:paraId="10E840ED">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姓名</w:t>
            </w:r>
          </w:p>
        </w:tc>
        <w:tc>
          <w:tcPr>
            <w:tcW w:w="1156" w:type="dxa"/>
            <w:vAlign w:val="center"/>
          </w:tcPr>
          <w:p w14:paraId="1650095B">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职称</w:t>
            </w:r>
          </w:p>
        </w:tc>
        <w:tc>
          <w:tcPr>
            <w:tcW w:w="1156" w:type="dxa"/>
            <w:vAlign w:val="center"/>
          </w:tcPr>
          <w:p w14:paraId="0B2EF57E">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专业</w:t>
            </w:r>
          </w:p>
        </w:tc>
        <w:tc>
          <w:tcPr>
            <w:tcW w:w="1545" w:type="dxa"/>
            <w:vAlign w:val="center"/>
          </w:tcPr>
          <w:p w14:paraId="77AA6A57">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从业资格</w:t>
            </w:r>
          </w:p>
        </w:tc>
        <w:tc>
          <w:tcPr>
            <w:tcW w:w="2173" w:type="dxa"/>
            <w:vAlign w:val="center"/>
          </w:tcPr>
          <w:p w14:paraId="1374BFC8">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相关工作年限</w:t>
            </w:r>
          </w:p>
        </w:tc>
      </w:tr>
      <w:tr w14: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5C37C97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0E86BB1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8B6F9BB">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E09A02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7B58F5D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215A0CE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69F98E6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21AFF85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5F57F7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2322EA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5E7435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032C327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40646FE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7525C8C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62D66A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23F6925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5A9637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68D0DCA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437A6462">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3C7F4C7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40D73F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0B194E4">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B21376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790A059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2D9C102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2AC25F3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1039056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58CE53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3E0B74A">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752FE7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F8FDD7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1DF8443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4BE20C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55FF4C5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9B960E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64A35E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53106A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06060A0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781E05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4E8C7AA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A98591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5FBC21C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791BB55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44E2F1E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4B51EB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9128564">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9A6AF5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68784F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5E71D29">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140E509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FA51A8B">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CB831B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F4903D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924E77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bl>
    <w:p w14:paraId="349056B9">
      <w:pPr>
        <w:adjustRightInd w:val="0"/>
        <w:snapToGrid w:val="0"/>
        <w:spacing w:after="0" w:line="572" w:lineRule="exact"/>
        <w:jc w:val="both"/>
        <w:rPr>
          <w:rFonts w:hint="eastAsia" w:ascii="宋体" w:hAnsi="宋体" w:eastAsia="宋体" w:cs="Times New Roman"/>
          <w:bCs/>
          <w:sz w:val="24"/>
          <w:szCs w:val="24"/>
          <w14:ligatures w14:val="none"/>
        </w:rPr>
      </w:pPr>
    </w:p>
    <w:p w14: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8" w:name="_Toc10496"/>
      <w:bookmarkStart w:id="39" w:name="_Toc11424"/>
      <w:r>
        <w:rPr>
          <w:rFonts w:hint="eastAsia" w:ascii="黑体" w:hAnsi="黑体" w:eastAsia="黑体" w:cs="黑体"/>
          <w:sz w:val="28"/>
          <w:szCs w:val="32"/>
          <w:lang w:val="en-US" w:eastAsia="zh-CN"/>
        </w:rPr>
        <w:t>成果交付及验收</w:t>
      </w:r>
      <w:bookmarkEnd w:id="38"/>
      <w:bookmarkEnd w:id="39"/>
    </w:p>
    <w:p w14:paraId="36460B7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本项目严格遵循合同约定及相关国军标要求，规范开展成果交付与验收全流程工作，确保交付成果完全满足项目建设需求，验收流程合规、结果100% 达标。</w:t>
      </w:r>
    </w:p>
    <w:p w14:paraId="0DD3D6C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检验与验收</w:t>
      </w:r>
    </w:p>
    <w:p w14:paraId="6FA6664C">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检验验收种类和方式</w:t>
      </w:r>
    </w:p>
    <w:p w14:paraId="649CEBF3">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我方对交付物进行检验并提供合格资料，如有必要，甲方可视情组织入厂复验。</w:t>
      </w:r>
    </w:p>
    <w:p w14:paraId="4B0E09E0">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检验项目及要求</w:t>
      </w:r>
    </w:p>
    <w:p w14:paraId="7DBA66D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我方依据《验收大纲》开展质量检验工作，归档相关记录，便于甲方查证。我方对合同标的使用寿命周期的产品制造质量负责，保证使用寿命周期内的备品备件供应。</w:t>
      </w:r>
    </w:p>
    <w:p w14:paraId="01CD603B">
      <w:pPr>
        <w:keepNext/>
        <w:keepLines/>
        <w:numPr>
          <w:ilvl w:val="3"/>
          <w:numId w:val="11"/>
        </w:numPr>
        <w:tabs>
          <w:tab w:val="left" w:pos="0"/>
        </w:tabs>
        <w:spacing w:line="360" w:lineRule="auto"/>
        <w:ind w:left="0" w:leftChars="0" w:firstLine="0" w:firstLineChars="0"/>
        <w:outlineLvl w:val="3"/>
        <w:rPr>
          <w:rFonts w:hint="eastAsia" w:eastAsia="黑体"/>
          <w:bCs/>
          <w:szCs w:val="32"/>
          <w:lang w:val="en-US" w:eastAsia="zh-CN"/>
        </w:rPr>
      </w:pPr>
      <w:r>
        <w:rPr>
          <w:rFonts w:hint="eastAsia" w:eastAsia="黑体"/>
          <w:bCs/>
          <w:szCs w:val="32"/>
          <w:lang w:val="en-US" w:eastAsia="zh-CN"/>
        </w:rPr>
        <w:t>检验验收结果处理</w:t>
      </w:r>
    </w:p>
    <w:p w14:paraId="3BC1E99D">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我方在收到甲方或相关军事代表机构拒收通知后，立即采取相应方式进行改进完善，尽快完成重新提交验收。</w:t>
      </w:r>
    </w:p>
    <w:p w14:paraId="7D8FACA3">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我方对收到的甲方或相关军事代表机构提出的检验验收不符合存在异议，第一时间通知并将相关理由和证明材料提交甲方或相关军事代表机构，否则视为不存在异议。双方对于检验验收结论发生争议且无法协商一致的，提交有关主管部门仲裁。</w:t>
      </w:r>
    </w:p>
    <w:p w14:paraId="5C1E8A3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0" w:name="_Ref3195"/>
      <w:r>
        <w:rPr>
          <w:rFonts w:hint="eastAsia" w:eastAsia="黑体"/>
          <w:bCs/>
          <w:szCs w:val="32"/>
          <w:lang w:val="en-US" w:eastAsia="zh-CN"/>
        </w:rPr>
        <w:t>验收和交付方式</w:t>
      </w:r>
      <w:bookmarkEnd w:id="40"/>
    </w:p>
    <w:p w14:paraId="258E20A6">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甲方按合同约定的技术要求对研制软件的功能、性能技术指标进行全面测试验证，对我方提交的产品和相关资料进行逐项测试验收，具体要求如下：</w:t>
      </w:r>
    </w:p>
    <w:p w14:paraId="047DEFA1">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文档验收要求</w:t>
      </w:r>
    </w:p>
    <w:p w14:paraId="2AC9EE2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严格审查所有交付文档资料的齐套性、一致性和正确性，确保文档内容与软件功能、设计方案、测试结果完全匹配，无遗漏、无偏差、无矛盾，全面满足项目建设、运维管理及合规审计的全流程文档需求。</w:t>
      </w:r>
    </w:p>
    <w:p w14:paraId="6C998AB0">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软件产品验收要求</w:t>
      </w:r>
    </w:p>
    <w:p w14:paraId="26D6F94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交付的软件产品需实现源代码与可执行程序完整齐套，所有代码、配置项、版本信息均纳入配置管理受控库进行统一管理，确保软件全生命周期可追溯、可管控，完全符合军用软件配置管理相关规范要求。</w:t>
      </w:r>
    </w:p>
    <w:p w14:paraId="0CDEC877">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验收测试要求</w:t>
      </w:r>
    </w:p>
    <w:p w14:paraId="5A873B7F">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需通过我方内部全流程测试（含单元测试、集成测试、系统测试、性能测试、六性专项测试、自主可控适配测试等），并经我方质量管理部门审核认可，确认软件功能完全符合用户需求，出具合格证明文件后方可提交甲方验收。</w:t>
      </w:r>
    </w:p>
    <w:p w14:paraId="714C7921">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验收结果要求</w:t>
      </w:r>
    </w:p>
    <w:p w14:paraId="42839F22">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所有验收环节的结果需严格符合合同约定的各项技术要求、性能指标、六性要求及自主可控要求，验收不合格项需完成闭环整改后重新组织验收，确保验收结果完全满足合同各项要求。</w:t>
      </w:r>
    </w:p>
    <w:p w14:paraId="5604C559">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质量整改要求</w:t>
      </w:r>
    </w:p>
    <w:p w14:paraId="734B510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若软件或文档质量未达到合同约定的质量等级，我方将在甲方要求的时间内无条件返修整改，直至完全符合要求，整改期间产生的所有费用由我方自行承担，不影响项目整体进度。</w:t>
      </w:r>
    </w:p>
    <w:p w14:paraId="3EE57EBD">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文档管控要求</w:t>
      </w:r>
    </w:p>
    <w:p w14:paraId="649DD710">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所有交付文档均严格按照质量体系管理要求编制，经我方 QA（质量保证）审查签字，通过内部会议评审、会签确认后方可提交甲方，确保文档质量符合军用软件文档规范要求。</w:t>
      </w:r>
    </w:p>
    <w:p w14:paraId="7043E20C">
      <w:pPr>
        <w:widowControl w:val="0"/>
        <w:numPr>
          <w:ilvl w:val="0"/>
          <w:numId w:val="18"/>
        </w:numPr>
        <w:bidi w:val="0"/>
        <w:spacing w:after="2" w:line="360" w:lineRule="auto"/>
        <w:ind w:left="845" w:leftChars="0" w:hanging="425" w:firstLineChars="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交付一致性要求</w:t>
      </w:r>
    </w:p>
    <w:p w14:paraId="599F7E9F">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若交付清单内容与项目总体要求存在不一致，以项目总体要求为准，我方将根据甲方要求调整交付内容，确保交付成果完全匹配项目建设需求。</w:t>
      </w:r>
    </w:p>
    <w:p w14:paraId="3B09D127">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1" w:name="_Ref3287"/>
      <w:r>
        <w:rPr>
          <w:rFonts w:hint="eastAsia" w:eastAsia="黑体"/>
          <w:bCs/>
          <w:szCs w:val="32"/>
          <w:lang w:val="en-US" w:eastAsia="zh-CN"/>
        </w:rPr>
        <w:t>交付成果</w:t>
      </w:r>
      <w:bookmarkEnd w:id="41"/>
    </w:p>
    <w:p w14:paraId="745BCBDF">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本项目交付成果覆盖项目全生命周期管理文档、软件产品两大类别，所有成果均按要求编制、审核、归档。沾杯资料库、站区ZB需求管理系统综合态势、综合研究计划管理三个模块分别提交全套共计14份交付物，具体交付清单详见下表。</w:t>
      </w:r>
    </w:p>
    <w:p w14:paraId="550D6ECD">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w14:ligatures w14:val="none"/>
        </w:rPr>
      </w:pPr>
      <w:r>
        <w:rPr>
          <w:rFonts w:hint="eastAsia" w:ascii="Times New Roman" w:hAnsi="Times New Roman" w:eastAsia="宋体" w:cs="Times New Roman"/>
          <w:color w:val="auto"/>
          <w:sz w:val="24"/>
          <w:szCs w:val="24"/>
          <w:lang w:val="en-US" w:eastAsia="zh-CN"/>
          <w14:ligatures w14:val="none"/>
        </w:rPr>
        <w:t>交付物清单</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w14: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w14: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序号</w:t>
            </w:r>
          </w:p>
        </w:tc>
        <w:tc>
          <w:tcPr>
            <w:tcW w:w="3379" w:type="dxa"/>
            <w:noWrap w:val="0"/>
            <w:vAlign w:val="center"/>
          </w:tcPr>
          <w:p w14: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名称</w:t>
            </w:r>
          </w:p>
        </w:tc>
        <w:tc>
          <w:tcPr>
            <w:tcW w:w="833" w:type="dxa"/>
            <w:noWrap w:val="0"/>
            <w:vAlign w:val="center"/>
          </w:tcPr>
          <w:p w14: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数量</w:t>
            </w:r>
          </w:p>
        </w:tc>
        <w:tc>
          <w:tcPr>
            <w:tcW w:w="970" w:type="dxa"/>
            <w:noWrap w:val="0"/>
            <w:vAlign w:val="center"/>
          </w:tcPr>
          <w:p w14: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单位</w:t>
            </w:r>
          </w:p>
        </w:tc>
        <w:tc>
          <w:tcPr>
            <w:tcW w:w="2470" w:type="dxa"/>
            <w:noWrap w:val="0"/>
            <w:vAlign w:val="center"/>
          </w:tcPr>
          <w:p w14: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成果形式</w:t>
            </w:r>
          </w:p>
        </w:tc>
      </w:tr>
      <w:tr w14: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A71C771">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软件开发计划</w:t>
            </w:r>
          </w:p>
        </w:tc>
        <w:tc>
          <w:tcPr>
            <w:tcW w:w="833" w:type="dxa"/>
            <w:noWrap w:val="0"/>
            <w:vAlign w:val="center"/>
          </w:tcPr>
          <w:p w14: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6A40C8F">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软件配置管理计划</w:t>
            </w:r>
          </w:p>
        </w:tc>
        <w:tc>
          <w:tcPr>
            <w:tcW w:w="833" w:type="dxa"/>
            <w:noWrap w:val="0"/>
            <w:vAlign w:val="center"/>
          </w:tcPr>
          <w:p w14: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DBFB5F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软件质量保证计划</w:t>
            </w:r>
          </w:p>
        </w:tc>
        <w:tc>
          <w:tcPr>
            <w:tcW w:w="833" w:type="dxa"/>
            <w:noWrap w:val="0"/>
            <w:vAlign w:val="center"/>
          </w:tcPr>
          <w:p w14: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03AC4C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需求规格说明</w:t>
            </w:r>
          </w:p>
        </w:tc>
        <w:tc>
          <w:tcPr>
            <w:tcW w:w="833" w:type="dxa"/>
            <w:noWrap w:val="0"/>
            <w:vAlign w:val="center"/>
          </w:tcPr>
          <w:p w14: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375E58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功能设计说明</w:t>
            </w:r>
          </w:p>
        </w:tc>
        <w:tc>
          <w:tcPr>
            <w:tcW w:w="833" w:type="dxa"/>
            <w:noWrap w:val="0"/>
            <w:vAlign w:val="center"/>
          </w:tcPr>
          <w:p w14: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022F3E02">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测试总结</w:t>
            </w:r>
          </w:p>
        </w:tc>
        <w:tc>
          <w:tcPr>
            <w:tcW w:w="833" w:type="dxa"/>
            <w:noWrap w:val="0"/>
            <w:vAlign w:val="center"/>
          </w:tcPr>
          <w:p w14: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F16724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用户手册</w:t>
            </w:r>
          </w:p>
        </w:tc>
        <w:tc>
          <w:tcPr>
            <w:tcW w:w="833" w:type="dxa"/>
            <w:noWrap w:val="0"/>
            <w:vAlign w:val="center"/>
          </w:tcPr>
          <w:p w14: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D069A1F">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配置管理总结</w:t>
            </w:r>
          </w:p>
        </w:tc>
        <w:tc>
          <w:tcPr>
            <w:tcW w:w="833" w:type="dxa"/>
            <w:noWrap w:val="0"/>
            <w:vAlign w:val="center"/>
          </w:tcPr>
          <w:p w14: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E51BBE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项目研制总结报告</w:t>
            </w:r>
          </w:p>
        </w:tc>
        <w:tc>
          <w:tcPr>
            <w:tcW w:w="833" w:type="dxa"/>
            <w:noWrap w:val="0"/>
            <w:vAlign w:val="center"/>
          </w:tcPr>
          <w:p w14: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F5530F0">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项目管理过程文档</w:t>
            </w:r>
          </w:p>
        </w:tc>
        <w:tc>
          <w:tcPr>
            <w:tcW w:w="833" w:type="dxa"/>
            <w:noWrap w:val="0"/>
            <w:vAlign w:val="center"/>
          </w:tcPr>
          <w:p w14: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51D549A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自主可控评估大纲</w:t>
            </w:r>
          </w:p>
        </w:tc>
        <w:tc>
          <w:tcPr>
            <w:tcW w:w="833" w:type="dxa"/>
            <w:noWrap w:val="0"/>
            <w:vAlign w:val="center"/>
          </w:tcPr>
          <w:p w14: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271F89A">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自主可控评估报告</w:t>
            </w:r>
          </w:p>
        </w:tc>
        <w:tc>
          <w:tcPr>
            <w:tcW w:w="833" w:type="dxa"/>
            <w:noWrap w:val="0"/>
            <w:vAlign w:val="center"/>
          </w:tcPr>
          <w:p w14: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51EA49B0">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合同及经费穿透监管配套材料</w:t>
            </w:r>
          </w:p>
        </w:tc>
        <w:tc>
          <w:tcPr>
            <w:tcW w:w="833" w:type="dxa"/>
            <w:noWrap w:val="0"/>
            <w:vAlign w:val="center"/>
          </w:tcPr>
          <w:p w14: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077848A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w:t>
            </w:r>
          </w:p>
        </w:tc>
        <w:tc>
          <w:tcPr>
            <w:tcW w:w="833" w:type="dxa"/>
            <w:noWrap w:val="0"/>
            <w:vAlign w:val="center"/>
          </w:tcPr>
          <w:p w14: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可执行程序及源代码</w:t>
            </w:r>
          </w:p>
        </w:tc>
      </w:tr>
    </w:tbl>
    <w:p w14:paraId="079C1711">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w14:ligatures w14:val="none"/>
        </w:rPr>
      </w:pPr>
    </w:p>
    <w:p w14: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42" w:name="_Toc13693"/>
      <w:bookmarkStart w:id="43" w:name="_Toc3244"/>
      <w:r>
        <w:rPr>
          <w:rFonts w:hint="eastAsia" w:ascii="黑体" w:hAnsi="黑体" w:eastAsia="黑体" w:cs="黑体"/>
          <w:sz w:val="28"/>
          <w:szCs w:val="32"/>
          <w:lang w:val="en-US" w:eastAsia="zh-CN"/>
        </w:rPr>
        <w:t>售后服务及承诺</w:t>
      </w:r>
      <w:bookmarkEnd w:id="42"/>
      <w:bookmarkEnd w:id="43"/>
    </w:p>
    <w:p w14:paraId="696A1496">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4" w:name="_Ref3359"/>
      <w:r>
        <w:rPr>
          <w:rFonts w:hint="eastAsia" w:eastAsia="黑体"/>
          <w:bCs/>
          <w:szCs w:val="32"/>
          <w:lang w:val="en-US" w:eastAsia="zh-CN"/>
        </w:rPr>
        <w:t>技术培训</w:t>
      </w:r>
      <w:bookmarkEnd w:id="44"/>
    </w:p>
    <w:p w14: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eastAsia="宋体" w:cs="Times New Roman"/>
          <w:szCs w:val="18"/>
          <w:lang w:val="en-US" w:eastAsia="zh-CN"/>
          <w14:ligatures w14:val="none"/>
        </w:rPr>
        <w:t>本项目</w:t>
      </w:r>
      <w:r>
        <w:rPr>
          <w:rFonts w:hint="eastAsia" w:ascii="Times New Roman" w:hAnsi="Times New Roman" w:eastAsia="宋体" w:cs="Times New Roman"/>
          <w:szCs w:val="18"/>
          <w:lang w:val="en-US" w:eastAsia="zh-CN"/>
          <w14:ligatures w14:val="none"/>
        </w:rPr>
        <w:t>制定技术培训响应方案。本方案严格执行5天的培训周期，采用基础知识集中培训和技术知识现场培训相结合的方式进行，</w:t>
      </w:r>
      <w:r>
        <w:rPr>
          <w:rFonts w:hint="eastAsia" w:eastAsia="宋体" w:cs="Times New Roman"/>
          <w:szCs w:val="18"/>
          <w:lang w:val="en-US" w:eastAsia="zh-CN"/>
          <w14:ligatures w14:val="none"/>
        </w:rPr>
        <w:t>培训内容包括系统功能培训、部署配置培训、操作方法培训、日常维护指导等，</w:t>
      </w:r>
      <w:r>
        <w:rPr>
          <w:rFonts w:hint="eastAsia" w:ascii="Times New Roman" w:hAnsi="Times New Roman" w:eastAsia="宋体" w:cs="Times New Roman"/>
          <w:szCs w:val="18"/>
          <w:lang w:val="en-US" w:eastAsia="zh-CN"/>
          <w14:ligatures w14:val="none"/>
        </w:rPr>
        <w:t>确保受训人员具备独立操作、配置及日常维护本系统的能力。</w:t>
      </w:r>
    </w:p>
    <w:p w14: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一、 培训模式总体规划</w:t>
      </w:r>
    </w:p>
    <w:p w14:paraId="0A605991">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培训工作分为两个主要阶段：</w:t>
      </w:r>
    </w:p>
    <w:p w14:paraId="0DC915E9">
      <w:pPr>
        <w:widowControl/>
        <w:numPr>
          <w:ilvl w:val="0"/>
          <w:numId w:val="20"/>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基础知识集中培训</w:t>
      </w:r>
    </w:p>
    <w:p w14:paraId="5A42DFAD">
      <w:pPr>
        <w:widowControl/>
        <w:spacing w:after="0" w:line="360" w:lineRule="auto"/>
        <w:ind w:firstLine="480" w:firstLineChars="200"/>
        <w:jc w:val="left"/>
        <w:textAlignment w:val="center"/>
        <w:rPr>
          <w:rFonts w:hint="eastAsia" w:eastAsia="宋体" w:cs="Times New Roman"/>
          <w:szCs w:val="18"/>
          <w:lang w:val="en-US" w:eastAsia="zh-CN"/>
          <w14:ligatures w14:val="none"/>
        </w:rPr>
      </w:pPr>
      <w:r>
        <w:rPr>
          <w:rFonts w:hint="eastAsia" w:eastAsia="宋体" w:cs="Times New Roman"/>
          <w:szCs w:val="18"/>
          <w:lang w:val="en-US" w:eastAsia="zh-CN"/>
          <w14:ligatures w14:val="none"/>
        </w:rPr>
        <w:t>以理论授课与系统演示为主，针对系统整体架构、业务逻辑、功能模块组成及标准化操作流程进行集中讲解，建立受训人员对系统的全局认知。</w:t>
      </w:r>
    </w:p>
    <w:p w14:paraId="5269DB7D">
      <w:pPr>
        <w:widowControl/>
        <w:numPr>
          <w:ilvl w:val="0"/>
          <w:numId w:val="20"/>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技术知识现场培训</w:t>
      </w:r>
    </w:p>
    <w:p w14:paraId="43A1B5BB">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以实操演练与场景模拟为主，在真实的国产化软硬件运行环境中进行。由技术专家现场指导系统的部署、底层组件配置、复杂业务流转及突发故障排查，确保理论知识转化为实际运维与操作能力。</w:t>
      </w:r>
    </w:p>
    <w:p w14:paraId="50A7D283">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二、 培训内容详细分解</w:t>
      </w:r>
    </w:p>
    <w:p w14:paraId="123A464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培训内容严格贴合项目研制要求，划分为以下四大模块：</w:t>
      </w:r>
    </w:p>
    <w:p w14:paraId="04584D96">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1. 系统功能培训</w:t>
      </w:r>
    </w:p>
    <w:p w14:paraId="23C70A4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ZB资料库模块：深入解析装备体系态势展示逻辑、多媒体资产渲染机制、战技指标效能对比分析算法，以及移动端数据解包与离线灌装功能的底层原理。</w:t>
      </w:r>
    </w:p>
    <w:p w14:paraId="3E4BF031">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综合态势模块：讲解基于角色的多维数据聚合逻辑、需求总体情况统计口径，以及首长态势大屏的指标映射关系。</w:t>
      </w:r>
    </w:p>
    <w:p w14:paraId="4F9ED40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综合研究计划管理模块：剖析“编报、审核、执行”全生命周期状态机控制逻辑、透镜式穿透检索机制及多模态数据（Data包/Excel）导入导出机制。</w:t>
      </w:r>
    </w:p>
    <w:p w14:paraId="6B3059B3">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2. 部署配置培训</w:t>
      </w:r>
    </w:p>
    <w:p w14:paraId="5069762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国产化底座适配：讲解系统在FT-2000+处理器与银河麒麟操作系统上的基础环境搭建规范。</w:t>
      </w:r>
    </w:p>
    <w:p w14:paraId="06763FCA">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组件配置与调优：指导金仓数据库（V8R3）的实例创建、表空间分配及高可用配置；实操金蝶（V9.0）中间件的服务编排、线程池配置及负载均衡路由策略设定。</w:t>
      </w:r>
    </w:p>
    <w:p w14:paraId="507FA172">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安全与网络配置：演示基于角色的访问控制（RBAC）配置方法、SSL/TLS加密传输配置及国产密码算法的集成应用。</w:t>
      </w:r>
    </w:p>
    <w:p w14:paraId="6169337C">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3. 操作方法培训</w:t>
      </w:r>
    </w:p>
    <w:p w14:paraId="76A5393D">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业务主线操作：针对不同角色的业务人员，进行全流程的穿透式实操指导。包括但不限于：装备指标在线/离线填报、综合研究计划节点审批、态势看板交互查询等。</w:t>
      </w:r>
    </w:p>
    <w:p w14:paraId="12BEAC0A">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特殊工况操作：重点培训无网环境下的移动端离线数据包灌装流程、批量数据并发导入导出操作及应急业务降级操作。</w:t>
      </w:r>
    </w:p>
    <w:p w14:paraId="4A342C11">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4. 日常维护指导</w:t>
      </w:r>
    </w:p>
    <w:p w14:paraId="4D0157EC">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监控与日志分析：培训系统级运行监控面板的解读方法；教授通过全链路审计日志与中间件堆栈日志定位性能瓶颈与业务报错代码的分析路径。</w:t>
      </w:r>
    </w:p>
    <w:p w14:paraId="268DBE5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灾备与恢复：实操金仓数据库的全量/增量备份策略配置，以及极端故障下的容灾切换与数据一键恢复流程。</w:t>
      </w:r>
    </w:p>
    <w:p w14:paraId="73998E85">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日常巡检与环境清理：规范化系统例行巡检清单，培训无效缓存清理、过期附件物理剔除及磁盘空间释放的标准化运维动作。</w:t>
      </w:r>
    </w:p>
    <w:p w14:paraId="0E94249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三、 5天标准培训日程安排</w:t>
      </w:r>
    </w:p>
    <w:p w14:paraId="5EE00F1E">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为确保培训内容的高效交付，具体日程规划如下：</w:t>
      </w:r>
    </w:p>
    <w:p w14:paraId="6449D1B5">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第1天：基础知识与系统全貌（集中培训）</w:t>
      </w:r>
    </w:p>
    <w:p w14:paraId="50D6136E">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上午：系统整体架构、全栈国产化底座介绍、业务数据流转总图解析。</w:t>
      </w:r>
    </w:p>
    <w:p w14:paraId="26F3632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下午：系统功能培训（ZB资料库、综合态势、综合研究计划管理模块的核心功能演示）。</w:t>
      </w:r>
    </w:p>
    <w:p w14:paraId="037CCDFA">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第2天：核心业务线实操（集中培训+现场指导）</w:t>
      </w:r>
    </w:p>
    <w:p w14:paraId="0A113D28">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上午：操作方法培训（基础数据录入、离线Data包处理、全生命周期计划编报与审核操作）。</w:t>
      </w:r>
    </w:p>
    <w:p w14:paraId="5D6E99A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下午：操作方法培训（态势大屏穿透交互、多维透镜数据检索、合同与里程碑节点管理）。</w:t>
      </w:r>
    </w:p>
    <w:p w14:paraId="58458B8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第3天：系统部署与底层配置（现场培训）</w:t>
      </w:r>
    </w:p>
    <w:p w14:paraId="161C83AD">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上午：部署配置培训（服务器初始化、银河麒麟OS环境配置、金仓数据库与金蝶中间件联合部署实操）。</w:t>
      </w:r>
    </w:p>
    <w:p w14:paraId="4113F57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下午：部署配置培训（系统参数热更新、权限矩阵配置、网络隔离与安全策略下发）。</w:t>
      </w:r>
    </w:p>
    <w:p w14:paraId="04E7296A">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第4天：系统运维与应急处置（现场培训）</w:t>
      </w:r>
    </w:p>
    <w:p w14:paraId="1DEE567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上午：日常维护指导（系统级监控配置、各类异常日志抓取与TraceID溯源分析）。</w:t>
      </w:r>
    </w:p>
    <w:p w14:paraId="74567729">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下午：日常维护指导（数据库备份与容灾恢复演练、系统高并发拥塞排查与服务重启规范）。</w:t>
      </w:r>
    </w:p>
    <w:p w14:paraId="6DACFFB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第5天：综合演练与实操考核（现场培训）</w:t>
      </w:r>
    </w:p>
    <w:p w14:paraId="40F2F273">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上午：设定模拟的综合业务场景与突发系统故障，要求受训人员分组进行全流程操作与独立排障。</w:t>
      </w:r>
    </w:p>
    <w:p w14:paraId="441ACA92">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下午：考核评估与答疑闭环。对受训人员的部署、操作与维护能力进行量化考核，移交全套培训教材与操作手册，培训工作正式验收闭环。</w:t>
      </w:r>
    </w:p>
    <w:p w14:paraId="55BCDFA6">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5" w:name="_Ref3323"/>
      <w:r>
        <w:rPr>
          <w:rFonts w:hint="eastAsia" w:eastAsia="黑体"/>
          <w:bCs/>
          <w:szCs w:val="32"/>
          <w:lang w:val="en-US" w:eastAsia="zh-CN"/>
        </w:rPr>
        <w:t>质量保证期承诺</w:t>
      </w:r>
      <w:bookmarkEnd w:id="45"/>
    </w:p>
    <w:p w14:paraId="498FF1CA">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自项目验收完毕之日起，若无后续迭代需求，我方保证提供3年的质量保证期，用于后续服务保障，主要包括：现场技术支持、远程电话支持。我方对提供的物资或成果在质保期内，因产品质量而导致的缺陷，保证免费提供包修、包换、包退服务，因此导致的损失甲方有权向我方追偿；若有迭代需求，按《全JZB数据建设创新组织管理工作方案》实施。超出质保期后，我方继续提供上门维修服务，仅收取成本费。</w:t>
      </w:r>
    </w:p>
    <w:p w14:paraId="6BDE2C7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6" w:name="5.2.2.质保承诺"/>
      <w:bookmarkEnd w:id="46"/>
      <w:bookmarkStart w:id="47" w:name="_bookmark75"/>
      <w:bookmarkEnd w:id="47"/>
      <w:bookmarkStart w:id="48" w:name="_Toc22011"/>
      <w:bookmarkStart w:id="49" w:name="_Ref3388"/>
      <w:bookmarkStart w:id="50" w:name="_Toc91174408"/>
      <w:bookmarkStart w:id="51" w:name="_Toc6569"/>
      <w:bookmarkStart w:id="52" w:name="_Toc8903"/>
      <w:r>
        <w:rPr>
          <w:rFonts w:hint="eastAsia" w:eastAsia="黑体"/>
          <w:bCs/>
          <w:szCs w:val="32"/>
          <w:lang w:val="en-US" w:eastAsia="zh-CN"/>
        </w:rPr>
        <w:t>售后服务响应承诺</w:t>
      </w:r>
      <w:bookmarkEnd w:id="48"/>
      <w:bookmarkEnd w:id="49"/>
      <w:bookmarkEnd w:id="50"/>
      <w:bookmarkEnd w:id="51"/>
      <w:bookmarkEnd w:id="52"/>
    </w:p>
    <w:p w14:paraId="79A696D5">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Times New Roman" w:hAnsi="Times New Roman" w:eastAsia="宋体" w:cs="Times New Roman"/>
          <w:szCs w:val="18"/>
          <w:lang w:val="en-US" w:eastAsia="zh-CN"/>
          <w14:ligatures w14:val="none"/>
        </w:rPr>
        <w:t>项目交付后发现产品质量存在质量问题或隐患时，我方保证提供7×24小时响应服务，响应时间不超过2小时，6小时内赶到合同甲方指定场所进行服务，并在48小时内排除故障。48小时仍未排除故障、恢复正常运转的，由我方7天内免费提供同类型备品、备件等。</w:t>
      </w:r>
    </w:p>
    <w:p w14:paraId="393800A8">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53" w:name="5.2.3.实时技术支持承诺"/>
      <w:bookmarkEnd w:id="53"/>
      <w:bookmarkStart w:id="54" w:name="_bookmark76"/>
      <w:bookmarkEnd w:id="54"/>
      <w:bookmarkStart w:id="55" w:name="_Toc14246"/>
      <w:bookmarkStart w:id="56" w:name="_Toc19547"/>
      <w:bookmarkStart w:id="57" w:name="_Toc4454"/>
      <w:bookmarkStart w:id="58" w:name="_Toc91174409"/>
      <w:r>
        <w:rPr>
          <w:rFonts w:hint="eastAsia" w:eastAsia="黑体"/>
          <w:bCs/>
          <w:szCs w:val="32"/>
          <w:lang w:val="en-US" w:eastAsia="zh-CN"/>
        </w:rPr>
        <w:t>实时技术支持承诺</w:t>
      </w:r>
      <w:bookmarkEnd w:id="55"/>
      <w:bookmarkEnd w:id="56"/>
      <w:bookmarkEnd w:id="57"/>
      <w:bookmarkEnd w:id="58"/>
    </w:p>
    <w:p w14:paraId="6405FC44">
      <w:pPr>
        <w:widowControl/>
        <w:spacing w:after="0" w:line="360" w:lineRule="auto"/>
        <w:ind w:firstLine="480" w:firstLineChars="200"/>
        <w:jc w:val="left"/>
        <w:textAlignment w:val="center"/>
        <w:rPr>
          <w:rFonts w:hint="eastAsia" w:ascii="Times New Roman" w:hAnsi="Times New Roman" w:eastAsia="宋体" w:cs="Times New Roman"/>
          <w:szCs w:val="18"/>
          <w14:ligatures w14:val="none"/>
        </w:rPr>
      </w:pPr>
      <w:r>
        <w:rPr>
          <w:rFonts w:hint="eastAsia" w:ascii="Times New Roman" w:hAnsi="Times New Roman" w:eastAsia="宋体" w:cs="Times New Roman"/>
          <w:szCs w:val="18"/>
          <w:lang w:val="en-US" w:eastAsia="zh-CN"/>
          <w14:ligatures w14:val="none"/>
        </w:rPr>
        <w:t>我方</w:t>
      </w:r>
      <w:r>
        <w:rPr>
          <w:rFonts w:hint="eastAsia" w:ascii="Times New Roman" w:hAnsi="Times New Roman" w:eastAsia="宋体" w:cs="Times New Roman"/>
          <w:szCs w:val="18"/>
          <w14:ligatures w14:val="none"/>
        </w:rPr>
        <w:t>通过热线电话、电子邮件、传真、上门服务、定期回访、远程监控即时指导、定期巡查等方式，保证及时高效地为业主方提供售前咨询、售后服务，对本系统的运行、维护提供7</w:t>
      </w:r>
      <w:r>
        <w:rPr>
          <w:rFonts w:hint="eastAsia" w:ascii="Times New Roman" w:hAnsi="Times New Roman" w:eastAsia="宋体" w:cs="Times New Roman"/>
          <w:szCs w:val="18"/>
          <w:lang w:val="en-US" w:eastAsia="zh-CN"/>
          <w14:ligatures w14:val="none"/>
        </w:rPr>
        <w:t>×</w:t>
      </w:r>
      <w:r>
        <w:rPr>
          <w:rFonts w:hint="eastAsia" w:ascii="Times New Roman" w:hAnsi="Times New Roman" w:eastAsia="宋体" w:cs="Times New Roman"/>
          <w:szCs w:val="18"/>
          <w14:ligatures w14:val="none"/>
        </w:rPr>
        <w:t>24的实时技术服务，排除业主方在使用过程中遇到的各种技术问题，及时提供关于软件如何使用的咨询服务，保证方便使用本公司建设的系统。</w:t>
      </w:r>
    </w:p>
    <w:p w14:paraId="756A5123">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59" w:name="_Ref3421"/>
      <w:r>
        <w:rPr>
          <w:rFonts w:hint="eastAsia" w:eastAsia="黑体"/>
          <w:bCs/>
          <w:szCs w:val="32"/>
          <w:lang w:val="en-US" w:eastAsia="zh-CN"/>
        </w:rPr>
        <w:t>应急支援保障承诺</w:t>
      </w:r>
      <w:bookmarkEnd w:id="59"/>
    </w:p>
    <w:p w14:paraId="4C2C5112">
      <w:pPr>
        <w:widowControl/>
        <w:spacing w:after="0" w:line="360" w:lineRule="auto"/>
        <w:ind w:firstLine="480" w:firstLineChars="200"/>
        <w:jc w:val="left"/>
        <w:textAlignment w:val="center"/>
        <w:rPr>
          <w:rFonts w:hint="eastAsia" w:ascii="Times New Roman" w:hAnsi="Times New Roman" w:eastAsia="宋体" w:cs="Times New Roman"/>
          <w:szCs w:val="18"/>
          <w14:ligatures w14:val="none"/>
        </w:rPr>
      </w:pPr>
      <w:r>
        <w:rPr>
          <w:rFonts w:hint="eastAsia" w:eastAsia="宋体" w:cs="Times New Roman"/>
          <w:szCs w:val="18"/>
          <w:lang w:val="en-US" w:eastAsia="zh-CN"/>
          <w14:ligatures w14:val="none"/>
        </w:rPr>
        <w:t>我方保证</w:t>
      </w:r>
      <w:r>
        <w:rPr>
          <w:rFonts w:hint="eastAsia" w:ascii="Times New Roman" w:hAnsi="Times New Roman" w:eastAsia="宋体" w:cs="Times New Roman"/>
          <w:szCs w:val="18"/>
          <w14:ligatures w14:val="none"/>
        </w:rPr>
        <w:t>履行军事保密义务，在军事行动中提供应急支援保障服务，提供人员和技术保障。保障服务内容包括突发事件处理、应急方案制定、现场技术支持、现场故障排查等。</w:t>
      </w:r>
    </w:p>
    <w:p w14:paraId="3FA58E9A">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60" w:name="_bookmark79"/>
      <w:bookmarkEnd w:id="60"/>
      <w:bookmarkStart w:id="61" w:name="_bookmark78"/>
      <w:bookmarkEnd w:id="61"/>
      <w:bookmarkStart w:id="62" w:name="5.2.5.热线服务承诺"/>
      <w:bookmarkEnd w:id="62"/>
      <w:bookmarkStart w:id="63" w:name="5.2.4.故障响应承诺"/>
      <w:bookmarkEnd w:id="63"/>
      <w:bookmarkStart w:id="64" w:name="_bookmark77"/>
      <w:bookmarkEnd w:id="64"/>
      <w:bookmarkStart w:id="65" w:name="5.2.6.定期跟踪承诺"/>
      <w:bookmarkEnd w:id="65"/>
      <w:bookmarkStart w:id="66" w:name="_Toc16974"/>
      <w:bookmarkStart w:id="67" w:name="_Toc28462"/>
      <w:bookmarkStart w:id="68" w:name="_Toc91174412"/>
      <w:bookmarkStart w:id="69" w:name="_Toc4484"/>
      <w:r>
        <w:rPr>
          <w:rFonts w:hint="eastAsia" w:eastAsia="黑体"/>
          <w:bCs/>
          <w:szCs w:val="32"/>
          <w:lang w:val="en-US" w:eastAsia="zh-CN"/>
        </w:rPr>
        <w:t>定期跟踪承诺</w:t>
      </w:r>
      <w:bookmarkEnd w:id="66"/>
      <w:bookmarkEnd w:id="67"/>
      <w:bookmarkEnd w:id="68"/>
      <w:bookmarkEnd w:id="69"/>
    </w:p>
    <w:p w14:paraId="68D964DB">
      <w:pPr>
        <w:widowControl/>
        <w:spacing w:after="0" w:line="360" w:lineRule="auto"/>
        <w:ind w:firstLine="480" w:firstLineChars="200"/>
        <w:jc w:val="left"/>
        <w:textAlignment w:val="center"/>
        <w:rPr>
          <w:rFonts w:hint="eastAsia" w:ascii="Times New Roman" w:hAnsi="Times New Roman" w:eastAsia="宋体" w:cs="Times New Roman"/>
          <w:szCs w:val="18"/>
          <w14:ligatures w14:val="none"/>
        </w:rPr>
      </w:pPr>
      <w:r>
        <w:rPr>
          <w:rFonts w:hint="eastAsia" w:ascii="Times New Roman" w:hAnsi="Times New Roman" w:eastAsia="宋体" w:cs="Times New Roman"/>
          <w:szCs w:val="18"/>
          <w:lang w:val="en-US" w:eastAsia="zh-CN"/>
          <w14:ligatures w14:val="none"/>
        </w:rPr>
        <w:t>我方</w:t>
      </w:r>
      <w:r>
        <w:rPr>
          <w:rFonts w:hint="eastAsia" w:ascii="Times New Roman" w:hAnsi="Times New Roman" w:eastAsia="宋体" w:cs="Times New Roman"/>
          <w:szCs w:val="18"/>
          <w14:ligatures w14:val="none"/>
        </w:rPr>
        <w:t>承诺，在系统安装、验收完毕后，将安排专人随时定期通过电话、电子邮件、MSN、QQ等方式跟踪系统的使用情况，及时了解使用中存在的问题并予以解决。如上述方式仍解决不了业主方的问题，将派遣技术人员到现场解决存在的问题。公司将为业主方建立专门的用户档案，派专人管理并进行定期回访服务，了解系统运行状况，听取意见与建议，及时解决存在的问题并对系统进行必要的升级维护。</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icrosoft JhengHei U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dobe 宋体 Std L">
    <w:panose1 w:val="02020300000000000000"/>
    <w:charset w:val="86"/>
    <w:family w:val="roman"/>
    <w:pitch w:val="default"/>
    <w:sig w:usb0="00000001" w:usb1="0A0F1810" w:usb2="00000016" w:usb3="00000000" w:csb0="00060007"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71A1E"/>
    <w:multiLevelType w:val="singleLevel"/>
    <w:tmpl w:val="A1E71A1E"/>
    <w:lvl w:ilvl="0" w:tentative="0">
      <w:start w:val="1"/>
      <w:numFmt w:val="decimal"/>
      <w:lvlText w:val="%1."/>
      <w:lvlJc w:val="left"/>
      <w:pPr>
        <w:tabs>
          <w:tab w:val="left" w:pos="420"/>
        </w:tabs>
        <w:ind w:left="845" w:hanging="425"/>
      </w:pPr>
      <w:rPr>
        <w:rFonts w:hint="default"/>
      </w:rPr>
    </w:lvl>
  </w:abstractNum>
  <w:abstractNum w:abstractNumId="1">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2">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3">
    <w:nsid w:val="124CC255"/>
    <w:multiLevelType w:val="singleLevel"/>
    <w:tmpl w:val="124CC255"/>
    <w:lvl w:ilvl="0" w:tentative="0">
      <w:start w:val="1"/>
      <w:numFmt w:val="decimal"/>
      <w:suff w:val="nothing"/>
      <w:lvlText w:val="（%1）"/>
      <w:lvlJc w:val="left"/>
    </w:lvl>
  </w:abstractNum>
  <w:abstractNum w:abstractNumId="4">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6">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7">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2737981"/>
    <w:multiLevelType w:val="singleLevel"/>
    <w:tmpl w:val="52737981"/>
    <w:lvl w:ilvl="0" w:tentative="0">
      <w:start w:val="1"/>
      <w:numFmt w:val="decimal"/>
      <w:lvlText w:val="(%1)"/>
      <w:lvlJc w:val="left"/>
      <w:pPr>
        <w:tabs>
          <w:tab w:val="left" w:pos="420"/>
        </w:tabs>
        <w:ind w:left="845" w:hanging="425"/>
      </w:pPr>
      <w:rPr>
        <w:rFonts w:hint="default"/>
      </w:rPr>
    </w:lvl>
  </w:abstractNum>
  <w:abstractNum w:abstractNumId="9">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11">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3">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6">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8">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4"/>
  </w:num>
  <w:num w:numId="2">
    <w:abstractNumId w:val="11"/>
  </w:num>
  <w:num w:numId="3">
    <w:abstractNumId w:val="16"/>
  </w:num>
  <w:num w:numId="4">
    <w:abstractNumId w:val="17"/>
  </w:num>
  <w:num w:numId="5">
    <w:abstractNumId w:val="13"/>
  </w:num>
  <w:num w:numId="6">
    <w:abstractNumId w:val="14"/>
  </w:num>
  <w:num w:numId="7">
    <w:abstractNumId w:val="9"/>
  </w:num>
  <w:num w:numId="8">
    <w:abstractNumId w:val="18"/>
  </w:num>
  <w:num w:numId="9">
    <w:abstractNumId w:val="7"/>
  </w:num>
  <w:num w:numId="10">
    <w:abstractNumId w:val="6"/>
  </w:num>
  <w:num w:numId="11">
    <w:abstractNumId w:val="15"/>
  </w:num>
  <w:num w:numId="12">
    <w:abstractNumId w:val="10"/>
  </w:num>
  <w:num w:numId="13">
    <w:abstractNumId w:val="12"/>
  </w:num>
  <w:num w:numId="14">
    <w:abstractNumId w:val="5"/>
  </w:num>
  <w:num w:numId="15">
    <w:abstractNumId w:val="1"/>
  </w:num>
  <w:num w:numId="16">
    <w:abstractNumId w:val="0"/>
  </w:num>
  <w:num w:numId="17">
    <w:abstractNumId w:val="3"/>
  </w:num>
  <w:num w:numId="18">
    <w:abstractNumId w:val="8"/>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381DA7"/>
    <w:rsid w:val="3FF102E8"/>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23</Pages>
  <Words>11020</Words>
  <Characters>12222</Characters>
  <Lines>1340</Lines>
  <Paragraphs>377</Paragraphs>
  <TotalTime>0</TotalTime>
  <ScaleCrop>false</ScaleCrop>
  <LinksUpToDate>false</LinksUpToDate>
  <CharactersWithSpaces>12285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2026-05-29T09:20:38Z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CC6D1B0B84CA47E7B918AED955BEBFF1_13</vt:lpwstr>
  </property>
  <property fmtid="{D5CDD505-2E9C-101B-9397-08002B2CF9AE}" pid="4" name="KSOTemplateDocerSaveRecord">
    <vt:lpwstr>eyJoZGlkIjoiZjVmZTk4YzdjZTllMmUzMzhiMzhiOTMwNDA4ZmY0MGYiLCJ1c2VySWQiOiI2Mzc2OTk4MDMifQ==</vt:lpwstr>
  </property>
</Properties>
</file>