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编写目的围绕执行标准符合性、个性化设置需求、需求标识符：DZHT_2025_DesignRestrict。-需求标识符、本项目研制工作的开展必须严格遵守相关保密规定；组织方案内容，对应模块包括质量监督与测试验收、个性化设置需求、安全与保密控制、项目实施与交付管理、培训售后与履约保障、商务保密与知识产权响应，来源依据为Q001、T026、T027、T028、Q013、Q015、B001、B002、S001、S002、S003、S004 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需求分析与建设内容围绕执行标准符合性、海图综合态势展示-标准符合性、海图综合态势展示、AIS/雷达等目标信息的处理与显示组织方案内容，对应模块包括质量监督与测试验收、海图综合态势展示-标准符合性、海图综合态势展示、AIS/雷达等目标信息的处理与显示、航线规划、安全等深线与水深告警，来源依据为Q001、T001、T002、T003、T004、T005、T006、T007、S001、S002、S003、S004 等。</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总体架构设计围绕基础平台与架构要求-跨平台兼容性、基础平台与架构要求-多设备协同、基础平台与架构要求、软件采用分层结构和模块化设计组织方案内容，对应模块包括基础平台与架构要求-跨平台兼容性、基础平台与架构要求-多设备协同、基础平台与架构要求、安全与保密控制，来源依据为T029、T030、T031、Q017、S001、S002、S003、S004 等。</w:t>
      </w:r>
    </w:p>
    <w:p>
      <w:pPr>
        <w:numPr>
          <w:ilvl w:val="0"/>
          <w:numId w:val="0"/>
        </w:numPr>
        <w:adjustRightInd w:val="0"/>
        <w:spacing w:line="360" w:lineRule="auto"/>
        <w:ind w:leftChars="200"/>
        <w:rPr>
          <w:szCs w:val="28"/>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657600"/>
            <wp:effectExtent l="0" t="0" r="0" b="0"/>
            <wp:docPr id="1002" name="功能模块划分图"/>
            <wp:cNvGraphicFramePr>
              <a:graphicFrameLocks noChangeAspect="1"/>
            </wp:cNvGraphicFramePr>
            <a:graphic>
              <a:graphicData uri="http://schemas.openxmlformats.org/drawingml/2006/picture">
                <pic:pic>
                  <pic:nvPicPr>
                    <pic:cNvPr id="0" name="功能模块划分图"/>
                    <pic:cNvPicPr/>
                  </pic:nvPicPr>
                  <pic:blipFill>
                    <a:blip r:embed="rId12"/>
                    <a:stretch>
                      <a:fillRect/>
                    </a:stretch>
                  </pic:blipFill>
                  <pic:spPr>
                    <a:xfrm>
                      <a:off x="0" y="0"/>
                      <a:ext cx="5486400" cy="3657600"/>
                    </a:xfrm>
                    <a:prstGeom prst="rect">
                      <a:avLst/>
                    </a:prstGeom>
                  </pic:spPr>
                </pic:pic>
              </a:graphicData>
            </a:graphic>
          </wp:inline>
        </w:drawing>
      </w:r>
    </w:p>
    <w:p>
      <w:pPr>
        <w:spacing w:line="360" w:lineRule="auto"/>
        <w:jc w:val="center"/>
        <w:rPr>
          <w:rFonts w:hint="eastAsia"/>
        </w:rPr>
      </w:pPr>
      <w:r>
        <w:t xml:space="preserve">功能模块划分图，用于说明本节相关模块、数据流或流程关系，来源需求：T029、T030、T031、Q017。</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架构图说明围绕基础平台与架构要求-跨平台兼容性、基础平台与架构要求-多设备协同、基础平台与架构要求、软件采用分层结构和模块化设计组织方案内容，对应模块包括基础平台与架构要求-跨平台兼容性、基础平台与架构要求-多设备协同、基础平台与架构要求、安全与保密控制，来源依据为T029、T030、T031、Q017、S001、S002、S003、S004 等。</w:t>
      </w:r>
    </w:p>
    <w:p>
      <w:pPr>
        <w:spacing w:line="360" w:lineRule="auto"/>
        <w:ind w:firstLine="480" w:firstLineChars="200"/>
        <w:rPr>
          <w:rFonts w:hint="eastAsia"/>
          <w:lang w:val="en-US" w:eastAsia="zh-CN"/>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设计原则围绕执行标准符合性、除功能性要求外、海图数据加载准确完整、系统部署运行软硬件环境满足全军统一国产化要求。、系统上线运行前必须进行整体安全性测试、对访问用户按照岗位…组织方案内容，对应模块包括质量监督与测试验收、安全与保密控制，来源依据为Q001、Q002、Q003、Q004、Q005、Q006、Q007、Q008、S001、S002、S003、S004 等。</w:t>
      </w:r>
    </w:p>
    <w:p>
      <w:pPr>
        <w:spacing w:line="360" w:lineRule="auto"/>
        <w:ind w:firstLine="480" w:firstLineChars="200"/>
        <w:rPr>
          <w:rFonts w:hint="eastAsia"/>
          <w:lang w:val="en-US" w:eastAsia="zh-CN"/>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设计围绕基础平台与架构要求-跨平台兼容性、系统部署运行软硬件环境满足全军统一国产化要求。、支持按照军用计算机网络安全防护标准进行网络软硬件部署配置。、软件运行环境组织方案内容，对应模块包括基础平台与架构要求-跨平台兼容性、安全与保密控制，来源依据为T029、Q004、Q007、Q012。</w:t>
      </w:r>
    </w:p>
    <w:p>
      <w:pPr>
        <w:spacing w:line="360" w:lineRule="auto"/>
        <w:ind w:firstLine="480" w:firstLineChars="200"/>
        <w:rPr>
          <w:rFonts w:hint="eastAsia"/>
          <w:lang w:val="en-US" w:eastAsia="zh-CN"/>
        </w:rPr>
      </w:pPr>
      <w:r>
        <w:t xml:space="preserve">本节以需求矩阵和设计蓝图为事实边界，描述功能划分、处理流程、数据关系和质量控制方式，形成可由 Word 装配阶段直接消费的正文内容。</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总述围绕海图综合态势展示-标准符合性、海图综合态势展示、AIS/雷达等目标信息的处理与显示组织方案内容，对应模块包括海图综合态势展示-标准符合性、海图综合态势展示、AIS/雷达等目标信息的处理与显示、航线规划、安全等深线与水深告警、航行监控导航与安全预警，来源依据为T001、T002、T003、T004、T005、T006、T007、T008 等。</w:t>
      </w:r>
    </w:p>
    <w:p>
      <w:pPr>
        <w:pStyle w:val="3"/>
        <w:numPr>
          <w:ilvl w:val="0"/>
          <w:numId w:val="0"/>
        </w:numPr>
        <w:bidi w:val="0"/>
        <w:ind w:leftChars="200"/>
        <w:rPr>
          <w:rFonts w:hint="eastAsia"/>
          <w:lang w:val="en-US" w:eastAsia="zh-CN"/>
        </w:rPr>
      </w:pPr>
      <w:r>
        <w:t xml:space="preserve">本节以需求矩阵和设计蓝图为事实边界，描述功能划分、处理流程、数据关系和质量控制方式，形成可由 Word 装配阶段直接消费的正文内容。</w:t>
      </w:r>
    </w:p>
    <w:p>
      <w:pPr>
        <w:pStyle w:val="3"/>
        <w:numPr>
          <w:ilvl w:val="0"/>
          <w:numId w:val="0"/>
        </w:numPr>
        <w:bidi w:val="0"/>
        <w:ind w:leftChars="200"/>
        <w:rPr>
          <w:rFonts w:hint="eastAsia" w:eastAsia="宋体"/>
          <w:lang w:eastAsia="zh-CN"/>
        </w:rPr>
      </w:pPr>
      <w:r>
        <w:t xml:space="preserve">海图综合态势展示-标准符合性围绕海图综合态势展示-标准符合性形成设计响应，重点说明功能边界、数据来源、操作流程和质量控制要求，来源依据为T001。</w:t>
      </w:r>
    </w:p>
    <w:p>
      <w:pPr>
        <w:pStyle w:val="3"/>
        <w:numPr>
          <w:ilvl w:val="0"/>
          <w:numId w:val="0"/>
        </w:numPr>
        <w:bidi w:val="0"/>
        <w:ind w:leftChars="200"/>
        <w:rPr>
          <w:rFonts w:hint="eastAsia" w:eastAsia="宋体"/>
          <w:lang w:eastAsia="zh-CN"/>
        </w:rPr>
      </w:pPr>
      <w:r>
        <w:t xml:space="preserve">海图综合态势展示围绕海图综合态势展示形成设计响应，重点说明功能边界、数据来源、操作流程和质量控制要求，来源依据为T002、T003、T004。</w:t>
      </w:r>
    </w:p>
    <w:p>
      <w:pPr>
        <w:pStyle w:val="3"/>
        <w:numPr>
          <w:ilvl w:val="0"/>
          <w:numId w:val="0"/>
        </w:numPr>
        <w:bidi w:val="0"/>
        <w:ind w:leftChars="200"/>
        <w:rPr>
          <w:rFonts w:hint="eastAsia" w:eastAsia="宋体"/>
          <w:lang w:eastAsia="zh-CN"/>
        </w:rPr>
      </w:pPr>
      <w:r>
        <w:t xml:space="preserve">AIS/雷达等目标信息的处理与显示围绕AIS/雷达等目标信息的处理与显示形成设计响应，重点说明功能边界、数据来源、操作流程和质量控制要求，来源依据为T005、T006、T007、T008、T009。</w:t>
      </w:r>
    </w:p>
    <w:p>
      <w:pPr>
        <w:pStyle w:val="3"/>
        <w:numPr>
          <w:ilvl w:val="0"/>
          <w:numId w:val="0"/>
        </w:numPr>
        <w:bidi w:val="0"/>
        <w:ind w:leftChars="200"/>
        <w:rPr>
          <w:rFonts w:hint="eastAsia" w:eastAsia="宋体"/>
          <w:lang w:eastAsia="zh-CN"/>
        </w:rPr>
      </w:pPr>
      <w:r>
        <w:t xml:space="preserve">航线规划围绕航线规划形成设计响应，重点说明功能边界、数据来源、操作流程和质量控制要求，来源依据为T010、T011、T012、T013、T014、T015。</w:t>
      </w:r>
    </w:p>
    <w:p>
      <w:pPr>
        <w:pStyle w:val="3"/>
        <w:numPr>
          <w:ilvl w:val="0"/>
          <w:numId w:val="0"/>
        </w:numPr>
        <w:bidi w:val="0"/>
        <w:ind w:leftChars="200"/>
        <w:rPr>
          <w:rFonts w:hint="eastAsia" w:eastAsia="宋体"/>
          <w:lang w:eastAsia="zh-CN"/>
        </w:rPr>
      </w:pPr>
      <w:r>
        <w:t xml:space="preserve">安全等深线与水深告警围绕安全等深线与水深告警形成设计响应，重点说明功能边界、数据来源、操作流程和质量控制要求，来源依据为T016、T017、T018、T019、T020、T021。</w:t>
      </w:r>
    </w:p>
    <w:p>
      <w:pPr>
        <w:pStyle w:val="3"/>
        <w:numPr>
          <w:ilvl w:val="0"/>
          <w:numId w:val="0"/>
        </w:numPr>
        <w:bidi w:val="0"/>
        <w:ind w:leftChars="200"/>
        <w:rPr>
          <w:rFonts w:hint="eastAsia" w:eastAsia="宋体"/>
          <w:lang w:eastAsia="zh-CN"/>
        </w:rPr>
      </w:pPr>
      <w:r>
        <w:t xml:space="preserve">航行监控导航与安全预警围绕航行监控导航与安全预警形成设计响应，重点说明功能边界、数据来源、操作流程和质量控制要求，来源依据为T022、T023、T024、T025。</w:t>
      </w:r>
    </w:p>
    <w:p>
      <w:pPr>
        <w:pStyle w:val="3"/>
        <w:numPr>
          <w:ilvl w:val="0"/>
          <w:numId w:val="0"/>
        </w:numPr>
        <w:bidi w:val="0"/>
        <w:ind w:leftChars="200"/>
        <w:rPr>
          <w:rFonts w:hint="eastAsia" w:eastAsia="宋体"/>
          <w:lang w:eastAsia="zh-CN"/>
        </w:rPr>
      </w:pPr>
      <w:r>
        <w:t xml:space="preserve">个性化设置需求围绕个性化设置需求形成设计响应，重点说明功能边界、数据来源、操作流程和质量控制要求，来源依据为T026、T027、T028。</w:t>
      </w:r>
    </w:p>
    <w:p>
      <w:pPr>
        <w:pStyle w:val="3"/>
        <w:numPr>
          <w:ilvl w:val="0"/>
          <w:numId w:val="0"/>
        </w:numPr>
        <w:bidi w:val="0"/>
        <w:ind w:leftChars="200"/>
        <w:rPr>
          <w:rFonts w:hint="eastAsia" w:eastAsia="宋体"/>
          <w:lang w:eastAsia="zh-CN"/>
        </w:rPr>
      </w:pPr>
      <w:r>
        <w:t xml:space="preserve">基础平台与架构要求-跨平台兼容性围绕基础平台与架构要求-跨平台兼容性形成设计响应，重点说明功能边界、数据来源、操作流程和质量控制要求，来源依据为T029。</w:t>
      </w:r>
    </w:p>
    <w:p>
      <w:pPr>
        <w:pStyle w:val="3"/>
        <w:numPr>
          <w:ilvl w:val="0"/>
          <w:numId w:val="0"/>
        </w:numPr>
        <w:bidi w:val="0"/>
        <w:ind w:leftChars="200"/>
        <w:rPr>
          <w:rFonts w:hint="eastAsia" w:eastAsia="宋体"/>
          <w:lang w:eastAsia="zh-CN"/>
        </w:rPr>
      </w:pPr>
      <w:r>
        <w:t xml:space="preserve">基础平台与架构要求-多设备协同围绕基础平台与架构要求-多设备协同形成设计响应，重点说明功能边界、数据来源、操作流程和质量控制要求，来源依据为T030。</w:t>
      </w:r>
    </w:p>
    <w:p>
      <w:pPr>
        <w:pStyle w:val="3"/>
        <w:numPr>
          <w:ilvl w:val="0"/>
          <w:numId w:val="0"/>
        </w:numPr>
        <w:bidi w:val="0"/>
        <w:ind w:leftChars="200"/>
        <w:rPr>
          <w:rFonts w:hint="eastAsia" w:eastAsia="宋体"/>
          <w:lang w:eastAsia="zh-CN"/>
        </w:rPr>
      </w:pPr>
      <w:r>
        <w:t xml:space="preserve">基础平台与架构要求围绕基础平台与架构要求形成设计响应，重点说明功能边界、数据来源、操作流程和质量控制要求，来源依据为T031。</w:t>
      </w:r>
    </w:p>
    <w:p>
      <w:pPr>
        <w:pStyle w:val="3"/>
        <w:numPr>
          <w:ilvl w:val="0"/>
          <w:numId w:val="0"/>
        </w:numPr>
        <w:bidi w:val="0"/>
        <w:ind w:leftChars="200"/>
        <w:rPr>
          <w:rFonts w:hint="eastAsia" w:eastAsia="宋体"/>
          <w:lang w:eastAsia="zh-CN"/>
        </w:rPr>
      </w:pPr>
      <w:r>
        <w:t xml:space="preserve">数据维护与合规围绕数据维护与合规形成设计响应，重点说明功能边界、数据来源、操作流程和质量控制要求，来源依据为T032、T033、T034。</w:t>
      </w:r>
    </w:p>
    <w:p>
      <w:pPr>
        <w:pStyle w:val="3"/>
        <w:numPr>
          <w:ilvl w:val="0"/>
          <w:numId w:val="0"/>
        </w:numPr>
        <w:bidi w:val="0"/>
        <w:ind w:leftChars="200"/>
        <w:rPr>
          <w:rFonts w:hint="eastAsia" w:eastAsia="宋体"/>
          <w:lang w:eastAsia="zh-CN"/>
        </w:rPr>
      </w:pPr>
      <w:r>
        <w:t xml:space="preserve">安全与保密控制围绕除功能性要求外、海图数据加载准确完整、系统上线运行前必须进行整体安全性测试、对访问用户按照岗位业务进行灵活的权限设计、支持按照军用计算机网络安全防护标准进行网…形成设计响应，重点说明功能边界、数据来源、操作流程和质量控制要求，来源依据为Q002、Q003、Q005、Q006、Q007、Q009。</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库设计总述围绕执行标准符合性、海图综合态势展示-标准符合性、海图综合态势展示、AIS/雷达等目标信息的处理与显示组织方案内容，对应模块包括质量监督与测试验收、海图综合态势展示-标准符合性、海图综合态势展示、AIS/雷达等目标信息的处理与显示、安全等深线与水深告警、航行监控导航与安全预警，来源依据为Q001、T001、T002、T003、T004、T005、T006、T017、S001、S002、S003、S004 等。</w:t>
      </w:r>
    </w:p>
    <w:p>
      <w:pPr>
        <w:pStyle w:val="3"/>
        <w:numPr>
          <w:ilvl w:val="0"/>
          <w:numId w:val="0"/>
        </w:numPr>
        <w:bidi w:val="0"/>
        <w:ind w:leftChars="200"/>
        <w:rPr>
          <w:rFonts w:hint="eastAsia" w:ascii="黑体" w:hAnsi="黑体" w:eastAsia="黑体" w:cs="黑体"/>
          <w:sz w:val="28"/>
          <w:szCs w:val="32"/>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设计围绕基础平台与架构要求、数据维护与合规、海图数据加载准确完整、功能模块（如数据接入、告警管理、系统配置等）之间须具有定义清晰…、系统及其各模块在设计和实现时须充分…组织方案内容，对应模块包括基础平台与架构要求、数据维护与合规、安全与保密控制、安全告警与风险接口、航线规划与监控接口、数据库数据读写接口，来源依据为T031、T034、Q003、Q009、Q011、T035、T036、T037。</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本节以需求矩阵和设计蓝图为事实边界，描述功能划分、处理流程、数据关系和质量控制方式，形成可由 Word 装配阶段直接消费的正文内容。</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核心业务数据设计围绕海图综合态势展示-标准符合性、海图综合态势展示、AIS/雷达等目标信息的处理与显示组织方案内容，对应模块包括海图综合态势展示-标准符合性、海图综合态势展示、AIS/雷达等目标信息的处理与显示、安全等深线与水深告警、航行监控导航与安全预警、基础平台与架构要求，来源依据为T001、T002、T003、T004、T005、T006、T007、T008 等。</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本节以需求矩阵和设计蓝图为事实边界，描述功能划分、处理流程、数据关系和质量控制方式，形成可由 Word 装配阶段直接消费的正文内容。</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库表设计围绕执行标准符合性、海图综合态势展示-标准符合性、海图综合态势展示、AIS/雷达等目标信息的处理与显示组织方案内容，对应模块包括质量监督与测试验收、海图综合态势展示-标准符合性、海图综合态势展示、AIS/雷达等目标信息的处理与显示、安全等深线与水深告警、航行监控导航与安全预警，来源依据为Q001、T001、T002、T003、T004、T005、T006、T017、S001、S002、S003、S004 等。</w:t>
      </w:r>
    </w:p>
    <w:p>
      <w:pPr>
        <w:adjustRightInd w:val="0"/>
        <w:spacing w:line="360" w:lineRule="auto"/>
        <w:ind w:firstLine="480" w:firstLineChars="200"/>
        <w:rPr>
          <w:szCs w:val="28"/>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通用质量特性设计总述围绕执行标准符合性、除功能性要求外、海图数据加载准确完整、系统部署运行软硬件环境满足全军统一国产化要求。、系统上线运行前必须进行整体安全性测试、对访问用户按照岗位…组织方案内容，对应模块包括质量监督与测试验收、安全与保密控制，来源依据为Q001、Q002、Q003、Q004、Q005、Q006、Q007、Q008 等。</w:t>
      </w:r>
    </w:p>
    <w:p>
      <w:pPr>
        <w:widowControl w:val="0"/>
        <w:bidi w:val="0"/>
        <w:spacing w:after="2" w:line="360" w:lineRule="auto"/>
        <w:ind w:firstLine="480" w:firstLineChars="200"/>
      </w:pPr>
      <w:r>
        <w:t xml:space="preserve">本节以需求矩阵和设计蓝图为事实边界，描述功能划分、处理流程、数据关系和质量控制方式，形成可由 Word 装配阶段直接消费的正文内容。 其中涉及商务、交付、服务或证明材料的表述保持复核状态。</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围绕2）系统初始化时间：＜10s；-2）系统初始化时间、5）指令响应率：100%；-5）指令响应率、6）系统服务稳定性：99%；-6）系统服务稳定性、除功能性要求…组织方案内容，对应模块包括性能与技术指标响应、安全与保密控制，来源依据为P002、P005、P006、Q002、Q003、Q009、Q010。</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围绕除功能性要求外、海图数据加载准确完整、系统上线运行前必须进行整体安全性测试、对访问用户按照岗位业务进行灵活的权限设计、MTTR（平均维修时间）：≤0.5小时。…组织方案内容，对应模块包括安全与保密控制、项目实施与交付管理、培训售后与履约保障、商务保密与知识产权响应、商务条款响应、商务条款与结算响应，来源依据为Q002、Q003、Q005、Q006、Q010、Q011、Q018、Q019、S020、S021、S022 等。</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对评分项培训和 售后服务采取显式响应方式，便于后续复核覆盖情况。 其中涉及商务、交付、服务或证明材料的表述保持复核状态。</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性设计围绕6）系统服务稳定性：99%；-6）系统服务稳定性、除功能性要求外、系统上线运行前必须进行整体安全性测试、MTTR（平均维修时间）：≤0.5小时。-MTTR（平…组织方案内容，对应模块包括性能与技术指标响应、安全与保密控制、项目实施与交付管理、培训售后与履约保障、商务条款响应、交付物与验收支撑，来源依据为P006、Q002、Q005、Q010、Q024、Q026、Q030、Q033、S014、S020、S021、S022 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对评分项项目管理和实施、培训和 售后服务采取显式响应方式，便于后续复核覆盖情况。 其中涉及商务、交付、服务或证明材料的表述保持复核状态。</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围绕执行标准符合性、除功能性要求外、系统上线运行前必须进行整体安全性测试、对访问用户按照岗位业务进行灵活的权限设计、系统及其各模块在设计和实现时须充分考虑可测试性…组织方案内容，对应模块包括质量监督与测试验收、安全与保密控制，来源依据为Q001、Q002、Q005、Q006、Q011、Q018、Q021、Q022。</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其中涉及商务、交付、服务或证明材料的表述保持复核状态。</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围绕航线规划、安全等深线与水深告警组织方案内容，对应模块包括航线规划、安全等深线与水深告警、个性化设置需求、数据维护与合规、安全与保密控制、安全告警与风险接口，来源依据为T011、T012、T016、T017、T018、T020、T028、T033 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其中涉及商务、交付、服务或证明材料的表述保持复核状态。</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围绕基础平台与架构要求-跨平台兼容性、除功能性要求外、系统部署运行软硬件环境满足全军统一国产化要求。、系统上线运行前必须进行整体安全性测试、对访问用户按照岗位业务…组织方案内容，对应模块包括基础平台与架构要求-跨平台兼容性、安全与保密控制，来源依据为T029、Q002、Q004、Q005、Q006、Q007、Q012。</w:t>
      </w:r>
    </w:p>
    <w:p>
      <w:pPr>
        <w:spacing w:line="360" w:lineRule="auto"/>
        <w:ind w:firstLine="480" w:firstLineChars="200"/>
      </w:pPr>
      <w:r>
        <w:t xml:space="preserve">本节以需求矩阵和设计蓝图为事实边界，描述功能划分、处理流程、数据关系和质量控制方式，形成可由 Word 装配阶段直接消费的正文内容。</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围绕海图综合态势展示-标准符合性、海图综合态势展示、AIS/雷达等目标信息的处理与显示组织方案内容，对应模块包括海图综合态势展示-标准符合性、海图综合态势展示、AIS/雷达等目标信息的处理与显示、航线规划、安全等深线与水深告警、航行监控导航与安全预警，来源依据为T001、T002、T003、T004、T005、T006、T007、T008、S001、S002、S003、S004 等。</w:t>
      </w:r>
    </w:p>
    <w:p>
      <w:pPr>
        <w:widowControl/>
        <w:spacing w:line="360" w:lineRule="auto"/>
        <w:ind w:firstLine="480" w:firstLineChars="200"/>
        <w:jc w:val="left"/>
        <w:textAlignment w:val="center"/>
        <w:rPr>
          <w:rFonts w:hint="eastAsia"/>
          <w:szCs w:val="18"/>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总述围绕执行标准符合性、航线规划、安全等深线与水深告警组织方案内容，对应模块包括质量监督与测试验收、航线规划、安全等深线与水深告警、航行监控导航与安全预警、个性化设置需求、数据维护与合规，来源依据为Q001、T011、T012、T016、T017、T018、T019、T020、S001、S002、S003、S004 等。</w:t>
      </w:r>
    </w:p>
    <w:p>
      <w:pPr>
        <w:widowControl w:val="0"/>
        <w:bidi w:val="0"/>
        <w:spacing w:after="2" w:line="360" w:lineRule="auto"/>
        <w:ind w:firstLine="480" w:firstLineChars="200"/>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与风险管理围绕执行标准符合性、除功能性要求外、海图数据加载准确完整、系统部署运行软硬件环境满足全军统一国产化要求。、系统上线运行前必须进行整体安全性测试、对访问用户按照岗位…组织方案内容，对应模块包括质量监督与测试验收、安全与保密控制、项目实施与交付管理、培训售后与履约保障、商务保密与知识产权响应、商务条款响应，来源依据为Q001、Q002、Q003、Q004、Q005、Q006、Q007、Q008、S012、S013、S014 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对评分项项目管理和实施采取显式响应方式，便于后续复核覆盖情况。 其中涉及商务、交付、服务或证明材料的表述保持复核状态。</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保障措施围绕执行标准符合性、航线规划、安全等深线与水深告警组织方案内容，对应模块包括质量监督与测试验收、航线规划、安全等深线与水深告警、航行监控导航与安全预警、个性化设置需求、数据维护与合规，来源依据为Q001、T011、T012、T016、T017、T018、T019、T020、S001、S002、S003、S004 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体系与资质响应说明围绕执行标准符合性、航线规划、安全等深线与水深告警组织方案内容，对应模块包括质量监督与测试验收、航线规划、安全等深线与水深告警、航行监控导航与安全预警、个性化设置需求、数据维护与合规，来源依据为Q001、T011、T012、T016、T017、T018、T019、T020、S001、S002、S003、S004 等。</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服务质量保障措施围绕执行标准符合性、航线规划、安全等深线与水深告警组织方案内容，对应模块包括质量监督与测试验收、航线规划、安全等深线与水深告警、航行监控导航与安全预警、个性化设置需求、数据维护与合规，来源依据为Q001、T011、T012、T016、T017、T018、T019、T020、S001、S002、S003、S004 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对评分项技术方案采取显式响应方式，便于后续复核覆盖情况。 其中涉及商务、交付、服务或证明材料的表述保持复核状态。</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进度计划围绕7）特殊操作超过该时间则需要给予用户明确的等待时间或进度条提示。、系统及其各模块在设计和实现时须充分考虑可测试性、本项目研制工作的开展必须严格遵守相关保密规定…组织方案内容，对应模块包括性能与技术指标响应、安全与保密控制、项目实施与交付管理、培训售后与履约保障、商务保密与知识产权响应、商务条款响应，来源依据为P007、Q011、Q015、Q024、Q026、Q030、Q033、Q035、S006、S012、S013、S014 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对评分项技术方案、项目管理和实施采取显式响应方式，便于后续复核覆盖情况。 其中涉及商务、交付、服务或证明材料的表述保持复核状态。</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验收围绕交付（服务）时间、地点和方式、售后服务、知识产权和保密要求、物资编目编码、打码贴签要求、付款及结算方式、履约保障金组织方案内容，对应模块包括项目实施与交付管理、培训售后与履约保障、商务保密与知识产权响应、商务条款响应、商务条款与结算响应、交付物与验收支撑，来源依据为B001、B002、B003、B004、B005、B006、B007、B008、S012、S013、S014 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本节以需求矩阵和设计蓝图为事实边界，描述功能划分、处理流程、数据关系和质量控制方式，形成可由 Word 装配阶段直接消费的正文内容。 对评分项项目管理和实施采取显式响应方式，便于后续复核覆盖情况。 其中涉及商务、交付、服务或证明材料的表述保持复核状态。</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清单围绕系统及其各模块在设计和实现时须充分考虑可测试性、定《电子海图显示与信息系统软件验收大纲》文件。、乙方应配合甲方完成外包验收工作、乙方需提供给甲方的外包验收交付…组织方案内容，对应模块包括安全与保密控制、项目实施与交付管理、培训售后与履约保障、交付物与验收支撑，来源依据为Q011、Q022、Q023、Q024、Q026、Q030、Q033、Q035、S014、S017 等。</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本节以需求矩阵和设计蓝图为事实边界，描述功能划分、处理流程、数据关系和质量控制方式，形成可由 Word 装配阶段直接消费的正文内容。 对评分项项目管理和实施、项目负责人采取显式响应方式，便于后续复核覆盖情况。 其中涉及商务、交付、服务或证明材料的表述保持复核状态。</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交付（服务）时间、地点和方式、售后服务、知识产权和保密要求、物资编目编码、打码贴签要求、付款及结算方式、履约保障金组织方案内容，对应模块包括项目实施与交付管理、培训售后与履约保障、商务保密与知识产权响应、商务条款响应、商务条款与结算响应、交付物与验收支撑，来源依据为B001、B002、B003、B004、B005、B006、B007、B008、S020、S021、S022 等。</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本节以需求矩阵和设计蓝图为事实边界，描述功能划分、处理流程、数据关系和质量控制方式，形成可由 Word 装配阶段直接消费的正文内容。 对评分项培训和 售后服务采取显式响应方式，便于后续复核覆盖情况。 其中涉及商务、交付、服务或证明材料的表述保持复核状态。</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应急支援保障响应围绕6）系统服务稳定性：99%；-6）系统服务稳定性、除功能性要求外、系统上线运行前必须进行整体安全性测试、MTTR（平均维修时间）：≤0.5小时。-MTTR（平…组织方案内容，对应模块包括性能与技术指标响应、安全与保密控制、项目实施与交付管理、培训售后与履约保障、商务条款响应、交付物与验收支撑，来源依据为P006、Q002、Q005、Q010、Q024、Q026、Q030、Q033、S014、S020、S021、S022 等。</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本节以需求矩阵和设计蓝图为事实边界，描述功能划分、处理流程、数据关系和质量控制方式，形成可由 Word 装配阶段直接消费的正文内容。 对评分项项目管理和实施、培训和 售后服务采取显式响应方式，便于后续复核覆盖情况。 其中涉及商务、交付、服务或证明材料的表述保持复核状态。</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定期跟踪服务响应围绕AIS/雷达等目标信息的处理与显示、数据维护与合规、6）系统服务稳定性：99%；-6）系统服务稳定性组织方案内容，对应模块包括AIS/雷达等目标信息的处理与显示、数据维护与合规、性能与技术指标响应、安全与保密控制、项目实施与交付管理、培训售后与履约保障，来源依据为T006、T007、T032、T033、T034、P006、Q008、Q017、S014、S020、S021、S022 等。</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本节以需求矩阵和设计蓝图为事实边界，描述功能划分、处理流程、数据关系和质量控制方式，形成可由 Word 装配阶段直接消费的正文内容。 对评分项项目管理和实施、培训和 售后服务采取显式响应方式，便于后续复核覆盖情况。 其中涉及商务、交付、服务或证明材料的表述保持复核状态。</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